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8"/>
        <w:gridCol w:w="596"/>
        <w:gridCol w:w="596"/>
        <w:gridCol w:w="16"/>
      </w:tblGrid>
      <w:tr w:rsidR="00663835" w14:paraId="1FD57F85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5FA38942" w14:textId="77777777" w:rsidR="00663835" w:rsidRDefault="009C6975" w:rsidP="00AB20AD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Week 1 </w:t>
            </w:r>
            <w:r w:rsidR="00AB20AD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RESOURCES</w:t>
            </w:r>
          </w:p>
        </w:tc>
      </w:tr>
      <w:tr w:rsidR="00663835" w14:paraId="30E15CC9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9E349" w14:textId="77777777" w:rsidR="00663835" w:rsidRDefault="00663835">
            <w:pPr>
              <w:spacing w:before="120" w:after="120"/>
              <w:jc w:val="center"/>
              <w:rPr>
                <w:rFonts w:eastAsia="Times New Roman"/>
                <w:i/>
                <w:iCs/>
                <w:sz w:val="36"/>
                <w:szCs w:val="36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 xml:space="preserve">Self-Evaluation: Characteristics of Effective Leadership </w:t>
            </w:r>
          </w:p>
        </w:tc>
      </w:tr>
      <w:tr w:rsidR="00663835" w14:paraId="3C412E17" w14:textId="77777777">
        <w:trPr>
          <w:gridAfter w:val="1"/>
          <w:wAfter w:w="16" w:type="dxa"/>
        </w:trPr>
        <w:tc>
          <w:tcPr>
            <w:tcW w:w="1100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B148C2" w14:textId="398EF0B1" w:rsidR="00663835" w:rsidRDefault="00663835" w:rsidP="009038DC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The questions below relate to characteristics of effective leaders. Use the questions to evaluate whether</w:t>
            </w:r>
            <w:r w:rsidR="009038DC">
              <w:rPr>
                <w:rFonts w:eastAsia="Times New Roman"/>
                <w:i/>
                <w:iCs/>
                <w:sz w:val="22"/>
                <w:szCs w:val="22"/>
              </w:rPr>
              <w:t xml:space="preserve"> or not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you possess these characteristics. Use the results to see where you might focus </w:t>
            </w:r>
            <w:r w:rsidR="009038DC">
              <w:rPr>
                <w:rFonts w:eastAsia="Times New Roman"/>
                <w:i/>
                <w:iCs/>
                <w:sz w:val="22"/>
                <w:szCs w:val="22"/>
              </w:rPr>
              <w:t xml:space="preserve">on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strengthen</w:t>
            </w:r>
            <w:r w:rsidR="009038DC">
              <w:rPr>
                <w:rFonts w:eastAsia="Times New Roman"/>
                <w:i/>
                <w:iCs/>
                <w:sz w:val="22"/>
                <w:szCs w:val="22"/>
              </w:rPr>
              <w:t>ing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your leadership skills.</w:t>
            </w:r>
          </w:p>
        </w:tc>
      </w:tr>
      <w:tr w:rsidR="00663835" w14:paraId="3363E2C3" w14:textId="77777777">
        <w:trPr>
          <w:gridAfter w:val="1"/>
          <w:wAfter w:w="16" w:type="dxa"/>
          <w:trHeight w:hRule="exact" w:val="400"/>
        </w:trPr>
        <w:tc>
          <w:tcPr>
            <w:tcW w:w="9808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2B920C9C" w14:textId="77777777" w:rsidR="00663835" w:rsidRDefault="00663835">
            <w:pPr>
              <w:spacing w:before="40" w:after="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Characteristics of Effective Leaders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1CFA97DD" w14:textId="77777777" w:rsidR="00663835" w:rsidRDefault="00663835">
            <w:pPr>
              <w:spacing w:before="40" w:after="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14:paraId="54A0AEEF" w14:textId="77777777" w:rsidR="00663835" w:rsidRDefault="00663835">
            <w:pPr>
              <w:spacing w:before="40" w:after="4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663835" w14:paraId="581AADD1" w14:textId="77777777">
        <w:trPr>
          <w:gridAfter w:val="1"/>
          <w:wAfter w:w="16" w:type="dxa"/>
        </w:trPr>
        <w:tc>
          <w:tcPr>
            <w:tcW w:w="9808" w:type="dxa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9FF27D0" w14:textId="77777777" w:rsidR="00663835" w:rsidRDefault="00663835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Caring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CA70949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F1C3499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60ADA1AD" w14:textId="77777777">
        <w:trPr>
          <w:gridAfter w:val="1"/>
          <w:wAfter w:w="16" w:type="dxa"/>
          <w:trHeight w:hRule="exact" w:val="360"/>
        </w:trPr>
        <w:tc>
          <w:tcPr>
            <w:tcW w:w="9808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128B1BC5" w14:textId="77777777" w:rsidR="00663835" w:rsidRDefault="00663835">
            <w:pPr>
              <w:spacing w:before="40"/>
              <w:ind w:left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 xml:space="preserve">  Do you empathize with other people’s needs, concerns, and goals? 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7DB51D2B" w14:textId="77777777" w:rsidR="00663835" w:rsidRDefault="00663835">
            <w:pPr>
              <w:spacing w:before="40" w:after="4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82CFB33" w14:textId="77777777" w:rsidR="00663835" w:rsidRDefault="00663835">
            <w:pPr>
              <w:spacing w:before="40" w:after="40"/>
              <w:jc w:val="center"/>
            </w:pPr>
          </w:p>
        </w:tc>
      </w:tr>
      <w:tr w:rsidR="00663835" w14:paraId="0F9C7B44" w14:textId="77777777">
        <w:trPr>
          <w:gridAfter w:val="1"/>
          <w:wAfter w:w="16" w:type="dxa"/>
          <w:trHeight w:hRule="exact" w:val="40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00205500" w14:textId="77777777" w:rsidR="00663835" w:rsidRDefault="00663835">
            <w:pPr>
              <w:spacing w:before="40"/>
              <w:ind w:left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 xml:space="preserve">  Would staff members confirm that you show such empathy?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3698ABB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2FC2ECF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0D3FA665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1319ECC" w14:textId="77777777" w:rsidR="00663835" w:rsidRDefault="00663835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Comfort with ambiguity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7A5A956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95E2F0B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1D0ADCB8" w14:textId="77777777">
        <w:trPr>
          <w:gridAfter w:val="1"/>
          <w:wAfter w:w="16" w:type="dxa"/>
          <w:trHeight w:hRule="exact" w:val="400"/>
        </w:trPr>
        <w:tc>
          <w:tcPr>
            <w:tcW w:w="980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DDF2BA9" w14:textId="77777777" w:rsidR="00663835" w:rsidRDefault="00663835">
            <w:pPr>
              <w:spacing w:before="40"/>
              <w:ind w:left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 xml:space="preserve">  Are you willing to take calculated risks?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59ACA5C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E520EB4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3406F652" w14:textId="77777777">
        <w:trPr>
          <w:gridAfter w:val="1"/>
          <w:wAfter w:w="16" w:type="dxa"/>
          <w:trHeight w:val="32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4C243B4" w14:textId="77777777" w:rsidR="00663835" w:rsidRDefault="00663835">
            <w:pPr>
              <w:spacing w:before="40"/>
              <w:ind w:left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 xml:space="preserve">  Are you comfortable with a certain level of disruption and conflict?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BAC2774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6728FE4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433B29A9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A246F20" w14:textId="77777777" w:rsidR="00663835" w:rsidRDefault="00663835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Persistent; tenacious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2C7CF1B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661064B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204FA69C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A1DFF" w14:textId="3BB48A98" w:rsidR="00663835" w:rsidRDefault="00663835">
            <w:pPr>
              <w:spacing w:before="40"/>
              <w:ind w:left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 xml:space="preserve">  When pursuing a goal, do you maintain a positive, focused attitude despite obstacles?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DA52A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61AD1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12713D42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AB76A9E" w14:textId="77777777" w:rsidR="00663835" w:rsidRDefault="00663835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Excellent communicators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981EEDD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8B5685A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3D3048D6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D47CA6C" w14:textId="6FB2D5E3" w:rsidR="00663835" w:rsidRDefault="00663835">
            <w:pPr>
              <w:spacing w:before="40"/>
              <w:ind w:left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 xml:space="preserve">  Do you listen closely (rather than have a response ready before the other person finishes</w:t>
            </w:r>
            <w:r w:rsidR="00485277">
              <w:rPr>
                <w:rFonts w:eastAsia="Times New Roman"/>
              </w:rPr>
              <w:t xml:space="preserve"> talking</w:t>
            </w:r>
            <w:r>
              <w:rPr>
                <w:rFonts w:eastAsia="Times New Roman"/>
              </w:rPr>
              <w:t>)?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62D429C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1614F68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35A7F846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066FD8E" w14:textId="77777777" w:rsidR="00663835" w:rsidRDefault="00663835">
            <w:pPr>
              <w:spacing w:before="40"/>
              <w:ind w:left="120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</w:t>
            </w:r>
            <w:r>
              <w:rPr>
                <w:rFonts w:eastAsia="Times New Roman"/>
              </w:rPr>
              <w:t xml:space="preserve">  Are you comfortable running meetings?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A19F2D3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0855203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5602ED3E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7EC730E" w14:textId="77777777" w:rsidR="00663835" w:rsidRDefault="00663835">
            <w:pPr>
              <w:spacing w:before="40"/>
              <w:ind w:left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</w:t>
            </w:r>
            <w:r>
              <w:rPr>
                <w:rFonts w:eastAsia="Times New Roman"/>
              </w:rPr>
              <w:t xml:space="preserve">  Are you comfortable making presentations and speaking in public?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06A52C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AFB4E98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7738D59A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9543D10" w14:textId="77777777" w:rsidR="00663835" w:rsidRDefault="00663835">
            <w:pPr>
              <w:spacing w:before="40"/>
              <w:ind w:left="1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9.</w:t>
            </w:r>
            <w:r>
              <w:rPr>
                <w:rFonts w:eastAsia="Times New Roman"/>
              </w:rPr>
              <w:t xml:space="preserve">  Do you have the skills needed to negotiate in a variety of settings?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FB76AFA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A8FBC54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32509F3C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A677525" w14:textId="77777777" w:rsidR="00663835" w:rsidRDefault="00663835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Politically astute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E06048D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7E97594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55A843AD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9F98CEC" w14:textId="1835D053" w:rsidR="00663835" w:rsidRDefault="00663835" w:rsidP="00294460">
            <w:pPr>
              <w:spacing w:before="60" w:after="60"/>
              <w:ind w:left="374" w:hanging="374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10.</w:t>
            </w:r>
            <w:r>
              <w:rPr>
                <w:rFonts w:eastAsia="Times New Roman"/>
              </w:rPr>
              <w:t xml:space="preserve">  Could you diagram your organization’s power structure</w:t>
            </w:r>
            <w:r w:rsidR="00294460">
              <w:rPr>
                <w:rFonts w:eastAsia="Times New Roman"/>
              </w:rPr>
              <w:t xml:space="preserve"> by yourself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5A0288D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C409BDC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09B9DD0E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3392E52" w14:textId="77777777" w:rsidR="00663835" w:rsidRDefault="00663835">
            <w:pPr>
              <w:spacing w:before="60" w:after="60"/>
              <w:ind w:left="374" w:hanging="3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11.</w:t>
            </w:r>
            <w:r>
              <w:rPr>
                <w:rFonts w:eastAsia="Times New Roman"/>
              </w:rPr>
              <w:t xml:space="preserve">  Can you articulate the concerns of your organization’s most powerful groups?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3B2DDE6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FF79FC9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53F9822D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A621F74" w14:textId="77777777" w:rsidR="00663835" w:rsidRDefault="00663835">
            <w:pPr>
              <w:spacing w:before="60" w:after="60"/>
              <w:ind w:left="374" w:hanging="3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12.</w:t>
            </w:r>
            <w:r>
              <w:rPr>
                <w:rFonts w:eastAsia="Times New Roman"/>
              </w:rPr>
              <w:t xml:space="preserve">  Can you identify those individuals within your organization that will support you when needed?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15D75E9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9816481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74B88C24" w14:textId="77777777">
        <w:trPr>
          <w:gridAfter w:val="1"/>
          <w:wAfter w:w="16" w:type="dxa"/>
          <w:trHeight w:val="360"/>
        </w:trPr>
        <w:tc>
          <w:tcPr>
            <w:tcW w:w="980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2603E5F8" w14:textId="77777777" w:rsidR="00663835" w:rsidRDefault="00663835">
            <w:pPr>
              <w:spacing w:before="60" w:after="60"/>
              <w:ind w:left="374" w:hanging="3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13.</w:t>
            </w:r>
            <w:r>
              <w:rPr>
                <w:rFonts w:eastAsia="Times New Roman"/>
              </w:rPr>
              <w:t xml:space="preserve">  Do you know where to turn for the resources you need?</w:t>
            </w: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E9A2AF7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7B6F37B1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4E7B2081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6E5313E" w14:textId="77777777" w:rsidR="00663835" w:rsidRDefault="00663835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Able to use humor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19F1495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EE551AC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6A79E1F2" w14:textId="77777777">
        <w:trPr>
          <w:gridAfter w:val="1"/>
          <w:wAfter w:w="16" w:type="dxa"/>
          <w:trHeight w:hRule="exact" w:val="360"/>
        </w:trPr>
        <w:tc>
          <w:tcPr>
            <w:tcW w:w="9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AE52E" w14:textId="77777777" w:rsidR="00663835" w:rsidRDefault="00663835">
            <w:pPr>
              <w:spacing w:before="60" w:after="60"/>
              <w:ind w:left="374" w:hanging="374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</w:t>
            </w:r>
            <w:r>
              <w:rPr>
                <w:rFonts w:eastAsia="Times New Roman"/>
              </w:rPr>
              <w:t xml:space="preserve">  Do you know how to use humor to relieve tense or uncomfortable situations?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6FA44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BD367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04CB531B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0DDDE59" w14:textId="77777777" w:rsidR="00663835" w:rsidRDefault="00663835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Level-headed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AA7E994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6B8A629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1F151A8D" w14:textId="77777777">
        <w:trPr>
          <w:gridAfter w:val="1"/>
          <w:wAfter w:w="16" w:type="dxa"/>
          <w:trHeight w:hRule="exact" w:val="360"/>
        </w:trPr>
        <w:tc>
          <w:tcPr>
            <w:tcW w:w="9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3FEEFB" w14:textId="77777777" w:rsidR="00663835" w:rsidRDefault="00663835">
            <w:pPr>
              <w:spacing w:before="60" w:after="60"/>
              <w:ind w:left="374" w:hanging="374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15.</w:t>
            </w:r>
            <w:r>
              <w:rPr>
                <w:rFonts w:eastAsia="Times New Roman"/>
              </w:rPr>
              <w:t xml:space="preserve">  In situations that are full of turmoil and confusion, do you stay calm and level-headed?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FC131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33C81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02D8F37A" w14:textId="77777777">
        <w:trPr>
          <w:gridAfter w:val="1"/>
          <w:wAfter w:w="16" w:type="dxa"/>
        </w:trPr>
        <w:tc>
          <w:tcPr>
            <w:tcW w:w="980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7A8461A" w14:textId="77777777" w:rsidR="00663835" w:rsidRDefault="00663835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Self-aware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D9613BB" w14:textId="77777777" w:rsidR="00663835" w:rsidRDefault="00663835">
            <w:pPr>
              <w:spacing w:before="80" w:after="80"/>
              <w:jc w:val="center"/>
            </w:pPr>
          </w:p>
        </w:tc>
        <w:tc>
          <w:tcPr>
            <w:tcW w:w="5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17FE74A" w14:textId="77777777" w:rsidR="00663835" w:rsidRDefault="00663835">
            <w:pPr>
              <w:spacing w:before="80" w:after="80"/>
              <w:jc w:val="center"/>
            </w:pPr>
          </w:p>
        </w:tc>
      </w:tr>
      <w:tr w:rsidR="00663835" w14:paraId="18044801" w14:textId="77777777">
        <w:trPr>
          <w:gridAfter w:val="1"/>
          <w:wAfter w:w="16" w:type="dxa"/>
          <w:trHeight w:val="260"/>
        </w:trPr>
        <w:tc>
          <w:tcPr>
            <w:tcW w:w="9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150E2" w14:textId="6385B13B" w:rsidR="00663835" w:rsidRDefault="00663835" w:rsidP="00945479">
            <w:pPr>
              <w:spacing w:before="60" w:after="60"/>
              <w:ind w:left="374" w:hanging="374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16.</w:t>
            </w:r>
            <w:r>
              <w:rPr>
                <w:rFonts w:eastAsia="Times New Roman"/>
              </w:rPr>
              <w:t xml:space="preserve">  Are you aware</w:t>
            </w:r>
            <w:r w:rsidR="00945479">
              <w:rPr>
                <w:rFonts w:eastAsia="Times New Roman"/>
              </w:rPr>
              <w:t xml:space="preserve"> of and able to</w:t>
            </w:r>
            <w:r>
              <w:rPr>
                <w:rFonts w:eastAsia="Times New Roman"/>
              </w:rPr>
              <w:t xml:space="preserve"> describe how your own patterns of behavior impact others?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8C578" w14:textId="77777777" w:rsidR="00663835" w:rsidRDefault="00663835">
            <w:pPr>
              <w:spacing w:before="60" w:after="60"/>
              <w:jc w:val="center"/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C757F" w14:textId="77777777" w:rsidR="00663835" w:rsidRDefault="00663835">
            <w:pPr>
              <w:spacing w:before="60" w:after="60"/>
              <w:jc w:val="center"/>
            </w:pPr>
          </w:p>
        </w:tc>
      </w:tr>
      <w:tr w:rsidR="00663835" w14:paraId="6453B18F" w14:textId="77777777">
        <w:trPr>
          <w:gridAfter w:val="1"/>
          <w:wAfter w:w="16" w:type="dxa"/>
          <w:trHeight w:val="260"/>
        </w:trPr>
        <w:tc>
          <w:tcPr>
            <w:tcW w:w="110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110C" w14:textId="77777777" w:rsidR="00663835" w:rsidRDefault="00663835">
            <w:pPr>
              <w:spacing w:before="8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If you answered “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yes</w:t>
            </w:r>
            <w:r>
              <w:rPr>
                <w:i/>
                <w:iCs/>
                <w:sz w:val="22"/>
                <w:szCs w:val="22"/>
              </w:rPr>
              <w:t>”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to most of these questions, you have the characteristics of an effective leader.</w:t>
            </w:r>
          </w:p>
          <w:p w14:paraId="15D9EC87" w14:textId="77777777" w:rsidR="00663835" w:rsidRDefault="00663835">
            <w:pPr>
              <w:spacing w:before="120" w:after="160"/>
              <w:rPr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If you answered “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no</w:t>
            </w:r>
            <w:r>
              <w:rPr>
                <w:i/>
                <w:iCs/>
                <w:sz w:val="22"/>
                <w:szCs w:val="22"/>
              </w:rPr>
              <w:t>”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to some or many of these questions, you may want to consider how you can further develop these effective leadership characteristics.</w:t>
            </w:r>
          </w:p>
        </w:tc>
      </w:tr>
      <w:tr w:rsidR="00663835" w14:paraId="307F8206" w14:textId="77777777">
        <w:trPr>
          <w:trHeight w:val="260"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FB5D4" w14:textId="77777777" w:rsidR="00663835" w:rsidRDefault="00663835">
            <w:pPr>
              <w:spacing w:before="120"/>
              <w:jc w:val="center"/>
            </w:pPr>
          </w:p>
        </w:tc>
      </w:tr>
    </w:tbl>
    <w:p w14:paraId="26ABEB56" w14:textId="77777777" w:rsidR="00663835" w:rsidRDefault="00663835"/>
    <w:sectPr w:rsidR="00663835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b/>
        <w:bCs/>
      </w:rPr>
    </w:lvl>
  </w:abstractNum>
  <w:abstractNum w:abstractNumId="1">
    <w:nsid w:val="01695733"/>
    <w:multiLevelType w:val="singleLevel"/>
    <w:tmpl w:val="FFCA9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>
    <w:nsid w:val="024C4C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75"/>
    <w:rsid w:val="00294460"/>
    <w:rsid w:val="00485277"/>
    <w:rsid w:val="00657070"/>
    <w:rsid w:val="00663835"/>
    <w:rsid w:val="009038DC"/>
    <w:rsid w:val="00945479"/>
    <w:rsid w:val="009C6975"/>
    <w:rsid w:val="00AB20AD"/>
    <w:rsid w:val="00BC1812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379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0"/>
    </w:pPr>
    <w:rPr>
      <w:rFonts w:ascii="Palatino" w:hAnsi="Palatino" w:cs="Palatino"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4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cs="Times New Roman"/>
      <w:b/>
      <w:bCs/>
      <w:i/>
      <w:iCs/>
      <w:sz w:val="26"/>
      <w:szCs w:val="26"/>
      <w:lang w:val="en-US" w:eastAsia="x-none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tabs>
        <w:tab w:val="left" w:pos="720"/>
      </w:tabs>
      <w:spacing w:line="240" w:lineRule="atLeast"/>
      <w:ind w:left="720" w:right="2160"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8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D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720"/>
        <w:tab w:val="left" w:pos="1440"/>
        <w:tab w:val="left" w:pos="2160"/>
        <w:tab w:val="left" w:pos="27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0"/>
    </w:pPr>
    <w:rPr>
      <w:rFonts w:ascii="Palatino" w:hAnsi="Palatino" w:cs="Palatino"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center"/>
      <w:outlineLvl w:val="4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cs="Times New Roman"/>
      <w:b/>
      <w:bCs/>
      <w:i/>
      <w:iCs/>
      <w:sz w:val="26"/>
      <w:szCs w:val="26"/>
      <w:lang w:val="en-US" w:eastAsia="x-none"/>
    </w:rPr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uiPriority w:val="99"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tabs>
        <w:tab w:val="left" w:pos="720"/>
      </w:tabs>
      <w:spacing w:line="240" w:lineRule="atLeast"/>
      <w:ind w:left="720" w:right="2160"/>
    </w:pPr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tLeast"/>
    </w:pPr>
    <w:rPr>
      <w:rFonts w:ascii="Palatino" w:hAnsi="Palatino" w:cs="Palatino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hAnsi="Times New Roman" w:cs="Times New Roman"/>
      <w:sz w:val="20"/>
      <w:szCs w:val="20"/>
      <w:lang w:val="en-U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8D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D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Characteristics of Effective Leaders</vt:lpstr>
    </vt:vector>
  </TitlesOfParts>
  <Company>contextbased systems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Effective Leaders</dc:title>
  <dc:subject>Week 1</dc:subject>
  <dc:creator>María del Carmen Abraham</dc:creator>
  <cp:lastModifiedBy>Bolivar Solorzano</cp:lastModifiedBy>
  <cp:revision>7</cp:revision>
  <dcterms:created xsi:type="dcterms:W3CDTF">2013-10-23T05:00:00Z</dcterms:created>
  <dcterms:modified xsi:type="dcterms:W3CDTF">2013-11-11T20:52:00Z</dcterms:modified>
</cp:coreProperties>
</file>