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</w:pP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Acta de Aprobación</w:t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851"/>
        </w:tabs>
        <w:spacing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Código:</w:t>
        <w:tab/>
        <w:t xml:space="preserve">XX-XX-XXX-2015 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851"/>
          <w:tab w:val="left" w:pos="2410"/>
          <w:tab w:val="left" w:pos="2552"/>
        </w:tabs>
        <w:spacing w:line="360" w:lineRule="auto"/>
        <w:ind w:left="708" w:hanging="708"/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Título:</w:t>
        <w:tab/>
        <w:t xml:space="preserve">Informe de Inventario de Emisión de GEI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                                                                                                             </w:t>
        <w:tab/>
        <w:tab/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Questrial" w:cs="Questrial" w:eastAsia="Questrial" w:hAnsi="Questrial"/>
          <w:b w:val="1"/>
          <w:rtl w:val="0"/>
        </w:rPr>
        <w:t xml:space="preserve">Aprobación del Área Gestora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Questrial" w:cs="Questrial" w:eastAsia="Questrial" w:hAnsi="Questrial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Questrial" w:cs="Questrial" w:eastAsia="Questrial" w:hAnsi="Questrial"/>
          <w:rtl w:val="0"/>
        </w:rPr>
        <w:tab/>
        <w:tab/>
      </w:r>
      <w:r w:rsidDel="00000000" w:rsidR="00000000" w:rsidRPr="00000000">
        <w:rPr>
          <w:rFonts w:ascii="Questrial" w:cs="Questrial" w:eastAsia="Questrial" w:hAnsi="Questrial"/>
          <w:u w:val="single"/>
          <w:rtl w:val="0"/>
        </w:rPr>
        <w:tab/>
        <w:tab/>
        <w:tab/>
        <w:tab/>
        <w:tab/>
        <w:t xml:space="preserve">    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Revisado </w:t>
      </w:r>
      <w:r w:rsidDel="00000000" w:rsidR="00000000" w:rsidRPr="00000000">
        <w:rPr>
          <w:rFonts w:ascii="Questrial" w:cs="Questrial" w:eastAsia="Questrial" w:hAnsi="Questrial"/>
          <w:color w:val="000000"/>
          <w:highlight w:val="yellow"/>
          <w:rtl w:val="0"/>
        </w:rPr>
        <w:t xml:space="preserve">por XXXXXX</w:t>
      </w:r>
      <w:r w:rsidDel="00000000" w:rsidR="00000000" w:rsidRPr="00000000">
        <w:rPr>
          <w:rFonts w:ascii="Questrial" w:cs="Questrial" w:eastAsia="Questrial" w:hAnsi="Questrial"/>
          <w:rtl w:val="0"/>
        </w:rPr>
        <w:tab/>
        <w:tab/>
        <w:tab/>
        <w:t xml:space="preserve">        </w:t>
        <w:tab/>
        <w:t xml:space="preserve">            Aprobado por </w:t>
      </w:r>
      <w:r w:rsidDel="00000000" w:rsidR="00000000" w:rsidRPr="00000000">
        <w:rPr>
          <w:rFonts w:ascii="Questrial" w:cs="Questrial" w:eastAsia="Questrial" w:hAnsi="Questrial"/>
          <w:color w:val="000000"/>
          <w:highlight w:val="yellow"/>
          <w:rtl w:val="0"/>
        </w:rPr>
        <w:t xml:space="preserve">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color w:val="000000"/>
          <w:highlight w:val="yellow"/>
          <w:rtl w:val="0"/>
        </w:rPr>
        <w:t xml:space="preserve">Cargo</w:t>
      </w:r>
      <w:r w:rsidDel="00000000" w:rsidR="00000000" w:rsidRPr="00000000">
        <w:rPr>
          <w:rFonts w:ascii="Questrial" w:cs="Questrial" w:eastAsia="Questrial" w:hAnsi="Questrial"/>
          <w:rtl w:val="0"/>
        </w:rPr>
        <w:t xml:space="preserve">         </w:t>
        <w:tab/>
        <w:tab/>
        <w:tab/>
        <w:tab/>
        <w:tab/>
        <w:tab/>
        <w:t xml:space="preserve">    </w:t>
      </w:r>
      <w:r w:rsidDel="00000000" w:rsidR="00000000" w:rsidRPr="00000000">
        <w:rPr>
          <w:rFonts w:ascii="Questrial" w:cs="Questrial" w:eastAsia="Questrial" w:hAnsi="Questrial"/>
          <w:color w:val="000000"/>
          <w:highlight w:val="yellow"/>
          <w:rtl w:val="0"/>
        </w:rPr>
        <w:t xml:space="preserve">Cargo</w:t>
      </w:r>
      <w:r w:rsidDel="00000000" w:rsidR="00000000" w:rsidRPr="00000000">
        <w:rPr>
          <w:rFonts w:ascii="Questrial" w:cs="Questrial" w:eastAsia="Questrial" w:hAnsi="Questrial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</w:pP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Bitácora de Revisiones</w:t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Revisión</w:t>
        <w:tab/>
        <w:t xml:space="preserve">Breve descripción de las actualizaciones a la normativa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MES-AÑO       DESCRIPCIÓN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tabs>
          <w:tab w:val="left" w:pos="180"/>
          <w:tab w:val="left" w:pos="360"/>
          <w:tab w:val="left" w:pos="540"/>
        </w:tabs>
        <w:spacing w:after="0" w:before="240" w:line="360" w:lineRule="auto"/>
        <w:contextualSpacing w:val="0"/>
        <w:jc w:val="center"/>
      </w:pPr>
      <w:r w:rsidDel="00000000" w:rsidR="00000000" w:rsidRPr="00000000">
        <w:rPr>
          <w:rFonts w:ascii="Questrial" w:cs="Questrial" w:eastAsia="Questrial" w:hAnsi="Questrial"/>
          <w:b w:val="1"/>
          <w:color w:val="366091"/>
          <w:sz w:val="24"/>
          <w:szCs w:val="24"/>
          <w:rtl w:val="0"/>
        </w:rPr>
        <w:t xml:space="preserve">Contenido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400"/>
          <w:tab w:val="right" w:pos="8830"/>
        </w:tabs>
        <w:spacing w:after="100" w:before="0" w:line="240" w:lineRule="auto"/>
        <w:contextualSpacing w:val="0"/>
        <w:jc w:val="both"/>
      </w:pPr>
      <w:bookmarkStart w:colFirst="0" w:colLast="0" w:name="h.gjdgxs" w:id="0"/>
      <w:bookmarkEnd w:id="0"/>
      <w:hyperlink w:anchor="h.1fob9te">
        <w:r w:rsidDel="00000000" w:rsidR="00000000" w:rsidRPr="00000000">
          <w:rPr>
            <w:rFonts w:ascii="Questrial" w:cs="Questrial" w:eastAsia="Questrial" w:hAnsi="Questrial"/>
            <w:b w:val="1"/>
            <w:color w:val="0000ff"/>
            <w:sz w:val="20"/>
            <w:szCs w:val="20"/>
            <w:u w:val="single"/>
            <w:rtl w:val="0"/>
          </w:rPr>
          <w:t xml:space="preserve">I.</w:t>
        </w:r>
      </w:hyperlink>
      <w:hyperlink w:anchor="h.1fob9te">
        <w:r w:rsidDel="00000000" w:rsidR="00000000" w:rsidRPr="00000000">
          <w:rPr>
            <w:rFonts w:ascii="Calibri" w:cs="Calibri" w:eastAsia="Calibri" w:hAnsi="Calibri"/>
            <w:b w:val="0"/>
            <w:sz w:val="22"/>
            <w:szCs w:val="22"/>
            <w:rtl w:val="0"/>
          </w:rPr>
          <w:tab/>
        </w:r>
      </w:hyperlink>
      <w:hyperlink w:anchor="h.1fob9te">
        <w:r w:rsidDel="00000000" w:rsidR="00000000" w:rsidRPr="00000000">
          <w:rPr>
            <w:rFonts w:ascii="Questrial" w:cs="Questrial" w:eastAsia="Questrial" w:hAnsi="Questrial"/>
            <w:b w:val="1"/>
            <w:color w:val="0000ff"/>
            <w:sz w:val="20"/>
            <w:szCs w:val="20"/>
            <w:u w:val="single"/>
            <w:rtl w:val="0"/>
          </w:rPr>
          <w:t xml:space="preserve">Descripción de la organización.</w:t>
        </w:r>
      </w:hyperlink>
      <w:hyperlink w:anchor="h.1fob9te">
        <w:r w:rsidDel="00000000" w:rsidR="00000000" w:rsidRPr="00000000">
          <w:rPr>
            <w:rFonts w:ascii="Arial" w:cs="Arial" w:eastAsia="Arial" w:hAnsi="Arial"/>
            <w:b w:val="0"/>
            <w:sz w:val="20"/>
            <w:szCs w:val="20"/>
            <w:rtl w:val="0"/>
          </w:rPr>
          <w:tab/>
        </w:r>
      </w:hyperlink>
      <w:hyperlink w:anchor="h.1fob9te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tabs>
          <w:tab w:val="left" w:pos="400"/>
          <w:tab w:val="right" w:pos="8830"/>
        </w:tabs>
        <w:spacing w:after="100" w:before="0" w:line="240" w:lineRule="auto"/>
        <w:contextualSpacing w:val="0"/>
        <w:jc w:val="both"/>
      </w:pPr>
      <w:hyperlink w:anchor="h.3znysh7">
        <w:r w:rsidDel="00000000" w:rsidR="00000000" w:rsidRPr="00000000">
          <w:rPr>
            <w:rFonts w:ascii="Questrial" w:cs="Questrial" w:eastAsia="Questrial" w:hAnsi="Questrial"/>
            <w:b w:val="1"/>
            <w:color w:val="0000ff"/>
            <w:sz w:val="20"/>
            <w:szCs w:val="20"/>
            <w:u w:val="single"/>
            <w:rtl w:val="0"/>
          </w:rPr>
          <w:t xml:space="preserve">II.</w:t>
        </w:r>
      </w:hyperlink>
      <w:hyperlink w:anchor="h.3znysh7">
        <w:r w:rsidDel="00000000" w:rsidR="00000000" w:rsidRPr="00000000">
          <w:rPr>
            <w:rFonts w:ascii="Calibri" w:cs="Calibri" w:eastAsia="Calibri" w:hAnsi="Calibri"/>
            <w:b w:val="0"/>
            <w:sz w:val="22"/>
            <w:szCs w:val="22"/>
            <w:rtl w:val="0"/>
          </w:rPr>
          <w:tab/>
        </w:r>
      </w:hyperlink>
      <w:hyperlink w:anchor="h.3znysh7">
        <w:r w:rsidDel="00000000" w:rsidR="00000000" w:rsidRPr="00000000">
          <w:rPr>
            <w:rFonts w:ascii="Questrial" w:cs="Questrial" w:eastAsia="Questrial" w:hAnsi="Questrial"/>
            <w:b w:val="1"/>
            <w:color w:val="0000ff"/>
            <w:sz w:val="20"/>
            <w:szCs w:val="20"/>
            <w:u w:val="single"/>
            <w:rtl w:val="0"/>
          </w:rPr>
          <w:t xml:space="preserve">Alcance del Inventario de Gases de Efecto Invernadero.</w:t>
        </w:r>
      </w:hyperlink>
      <w:hyperlink w:anchor="h.3znysh7">
        <w:r w:rsidDel="00000000" w:rsidR="00000000" w:rsidRPr="00000000">
          <w:rPr>
            <w:rFonts w:ascii="Arial" w:cs="Arial" w:eastAsia="Arial" w:hAnsi="Arial"/>
            <w:b w:val="0"/>
            <w:sz w:val="20"/>
            <w:szCs w:val="20"/>
            <w:rtl w:val="0"/>
          </w:rPr>
          <w:tab/>
        </w:r>
      </w:hyperlink>
      <w:hyperlink w:anchor="h.3znysh7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tabs>
          <w:tab w:val="right" w:pos="8830"/>
        </w:tabs>
        <w:spacing w:after="100" w:before="0" w:line="240" w:lineRule="auto"/>
        <w:ind w:left="200" w:firstLine="0"/>
        <w:contextualSpacing w:val="0"/>
        <w:jc w:val="both"/>
      </w:pPr>
      <w:hyperlink w:anchor="h.tyjcwt">
        <w:r w:rsidDel="00000000" w:rsidR="00000000" w:rsidRPr="00000000">
          <w:rPr>
            <w:rFonts w:ascii="Questrial" w:cs="Questrial" w:eastAsia="Questrial" w:hAnsi="Questrial"/>
            <w:b w:val="1"/>
            <w:color w:val="0000ff"/>
            <w:sz w:val="20"/>
            <w:szCs w:val="20"/>
            <w:u w:val="single"/>
            <w:rtl w:val="0"/>
          </w:rPr>
          <w:t xml:space="preserve">Límites Operativos</w:t>
        </w:r>
      </w:hyperlink>
      <w:hyperlink w:anchor="h.tyjcwt">
        <w:r w:rsidDel="00000000" w:rsidR="00000000" w:rsidRPr="00000000">
          <w:rPr>
            <w:rFonts w:ascii="Arial" w:cs="Arial" w:eastAsia="Arial" w:hAnsi="Arial"/>
            <w:b w:val="0"/>
            <w:sz w:val="20"/>
            <w:szCs w:val="20"/>
            <w:rtl w:val="0"/>
          </w:rPr>
          <w:tab/>
        </w:r>
      </w:hyperlink>
      <w:hyperlink w:anchor="h.tyjcwt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tabs>
          <w:tab w:val="right" w:pos="8830"/>
        </w:tabs>
        <w:spacing w:after="100" w:before="0" w:line="240" w:lineRule="auto"/>
        <w:ind w:left="200" w:firstLine="0"/>
        <w:contextualSpacing w:val="0"/>
        <w:jc w:val="both"/>
      </w:pPr>
      <w:hyperlink w:anchor="h.3dy6vkm">
        <w:r w:rsidDel="00000000" w:rsidR="00000000" w:rsidRPr="00000000">
          <w:rPr>
            <w:rFonts w:ascii="Questrial" w:cs="Questrial" w:eastAsia="Questrial" w:hAnsi="Questrial"/>
            <w:b w:val="1"/>
            <w:color w:val="0000ff"/>
            <w:sz w:val="20"/>
            <w:szCs w:val="20"/>
            <w:u w:val="single"/>
            <w:rtl w:val="0"/>
          </w:rPr>
          <w:t xml:space="preserve">Límites de la Organización</w:t>
        </w:r>
      </w:hyperlink>
      <w:hyperlink w:anchor="h.3dy6vkm">
        <w:r w:rsidDel="00000000" w:rsidR="00000000" w:rsidRPr="00000000">
          <w:rPr>
            <w:rFonts w:ascii="Arial" w:cs="Arial" w:eastAsia="Arial" w:hAnsi="Arial"/>
            <w:b w:val="0"/>
            <w:sz w:val="20"/>
            <w:szCs w:val="20"/>
            <w:rtl w:val="0"/>
          </w:rPr>
          <w:tab/>
        </w:r>
      </w:hyperlink>
      <w:hyperlink w:anchor="h.3dy6vkm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tabs>
          <w:tab w:val="right" w:pos="8830"/>
        </w:tabs>
        <w:spacing w:after="100" w:before="0" w:line="240" w:lineRule="auto"/>
        <w:ind w:left="200" w:firstLine="0"/>
        <w:contextualSpacing w:val="0"/>
        <w:jc w:val="both"/>
      </w:pPr>
      <w:hyperlink w:anchor="h.1t3h5sf">
        <w:r w:rsidDel="00000000" w:rsidR="00000000" w:rsidRPr="00000000">
          <w:rPr>
            <w:rFonts w:ascii="Questrial" w:cs="Questrial" w:eastAsia="Questrial" w:hAnsi="Questrial"/>
            <w:b w:val="1"/>
            <w:color w:val="0000ff"/>
            <w:sz w:val="20"/>
            <w:szCs w:val="20"/>
            <w:u w:val="single"/>
            <w:rtl w:val="0"/>
          </w:rPr>
          <w:t xml:space="preserve">Exclusiones en la cuantificación de fuentes o sumideros de GEI.</w:t>
        </w:r>
      </w:hyperlink>
      <w:hyperlink w:anchor="h.1t3h5sf">
        <w:r w:rsidDel="00000000" w:rsidR="00000000" w:rsidRPr="00000000">
          <w:rPr>
            <w:rFonts w:ascii="Arial" w:cs="Arial" w:eastAsia="Arial" w:hAnsi="Arial"/>
            <w:b w:val="0"/>
            <w:sz w:val="20"/>
            <w:szCs w:val="20"/>
            <w:rtl w:val="0"/>
          </w:rPr>
          <w:tab/>
        </w:r>
      </w:hyperlink>
      <w:hyperlink w:anchor="h.1t3h5sf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tabs>
          <w:tab w:val="right" w:pos="8830"/>
        </w:tabs>
        <w:spacing w:after="100" w:before="0" w:line="240" w:lineRule="auto"/>
        <w:ind w:left="200" w:firstLine="0"/>
        <w:contextualSpacing w:val="0"/>
        <w:jc w:val="both"/>
      </w:pPr>
      <w:hyperlink w:anchor="h.4d34og8">
        <w:r w:rsidDel="00000000" w:rsidR="00000000" w:rsidRPr="00000000">
          <w:rPr>
            <w:rFonts w:ascii="Questrial" w:cs="Questrial" w:eastAsia="Questrial" w:hAnsi="Questrial"/>
            <w:b w:val="1"/>
            <w:color w:val="0000ff"/>
            <w:sz w:val="20"/>
            <w:szCs w:val="20"/>
            <w:u w:val="single"/>
            <w:rtl w:val="0"/>
          </w:rPr>
          <w:t xml:space="preserve">Periodo que cubre el informe.</w:t>
        </w:r>
      </w:hyperlink>
      <w:hyperlink w:anchor="h.4d34og8">
        <w:r w:rsidDel="00000000" w:rsidR="00000000" w:rsidRPr="00000000">
          <w:rPr>
            <w:rFonts w:ascii="Arial" w:cs="Arial" w:eastAsia="Arial" w:hAnsi="Arial"/>
            <w:b w:val="0"/>
            <w:sz w:val="20"/>
            <w:szCs w:val="20"/>
            <w:rtl w:val="0"/>
          </w:rPr>
          <w:tab/>
        </w:r>
      </w:hyperlink>
      <w:hyperlink w:anchor="h.4d34og8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tabs>
          <w:tab w:val="left" w:pos="660"/>
          <w:tab w:val="right" w:pos="8830"/>
        </w:tabs>
        <w:spacing w:after="100" w:before="0" w:line="240" w:lineRule="auto"/>
        <w:contextualSpacing w:val="0"/>
        <w:jc w:val="both"/>
      </w:pPr>
      <w:hyperlink w:anchor="h.2s8eyo1">
        <w:r w:rsidDel="00000000" w:rsidR="00000000" w:rsidRPr="00000000">
          <w:rPr>
            <w:rFonts w:ascii="Questrial" w:cs="Questrial" w:eastAsia="Questrial" w:hAnsi="Questrial"/>
            <w:b w:val="1"/>
            <w:color w:val="0000ff"/>
            <w:sz w:val="20"/>
            <w:szCs w:val="20"/>
            <w:u w:val="single"/>
            <w:rtl w:val="0"/>
          </w:rPr>
          <w:t xml:space="preserve">III.</w:t>
        </w:r>
      </w:hyperlink>
      <w:hyperlink w:anchor="h.2s8eyo1">
        <w:r w:rsidDel="00000000" w:rsidR="00000000" w:rsidRPr="00000000">
          <w:rPr>
            <w:rFonts w:ascii="Calibri" w:cs="Calibri" w:eastAsia="Calibri" w:hAnsi="Calibri"/>
            <w:b w:val="0"/>
            <w:sz w:val="22"/>
            <w:szCs w:val="22"/>
            <w:rtl w:val="0"/>
          </w:rPr>
          <w:tab/>
        </w:r>
      </w:hyperlink>
      <w:hyperlink w:anchor="h.2s8eyo1">
        <w:r w:rsidDel="00000000" w:rsidR="00000000" w:rsidRPr="00000000">
          <w:rPr>
            <w:rFonts w:ascii="Questrial" w:cs="Questrial" w:eastAsia="Questrial" w:hAnsi="Questrial"/>
            <w:b w:val="1"/>
            <w:color w:val="0000ff"/>
            <w:sz w:val="20"/>
            <w:szCs w:val="20"/>
            <w:u w:val="single"/>
            <w:rtl w:val="0"/>
          </w:rPr>
          <w:t xml:space="preserve">Datos de la cuantificación de las emisiones directas e indirectas.</w:t>
        </w:r>
      </w:hyperlink>
      <w:hyperlink w:anchor="h.2s8eyo1">
        <w:r w:rsidDel="00000000" w:rsidR="00000000" w:rsidRPr="00000000">
          <w:rPr>
            <w:rFonts w:ascii="Arial" w:cs="Arial" w:eastAsia="Arial" w:hAnsi="Arial"/>
            <w:b w:val="0"/>
            <w:sz w:val="20"/>
            <w:szCs w:val="20"/>
            <w:rtl w:val="0"/>
          </w:rPr>
          <w:tab/>
        </w:r>
      </w:hyperlink>
      <w:hyperlink w:anchor="h.2s8eyo1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tabs>
          <w:tab w:val="left" w:pos="660"/>
          <w:tab w:val="right" w:pos="8830"/>
        </w:tabs>
        <w:spacing w:after="100" w:before="0" w:line="240" w:lineRule="auto"/>
        <w:contextualSpacing w:val="0"/>
        <w:jc w:val="both"/>
      </w:pPr>
      <w:hyperlink w:anchor="h.26in1rg">
        <w:r w:rsidDel="00000000" w:rsidR="00000000" w:rsidRPr="00000000">
          <w:rPr>
            <w:rFonts w:ascii="Questrial" w:cs="Questrial" w:eastAsia="Questrial" w:hAnsi="Questrial"/>
            <w:b w:val="1"/>
            <w:color w:val="0000ff"/>
            <w:sz w:val="20"/>
            <w:szCs w:val="20"/>
            <w:u w:val="single"/>
            <w:rtl w:val="0"/>
          </w:rPr>
          <w:t xml:space="preserve">IV.</w:t>
        </w:r>
      </w:hyperlink>
      <w:hyperlink w:anchor="h.26in1rg">
        <w:r w:rsidDel="00000000" w:rsidR="00000000" w:rsidRPr="00000000">
          <w:rPr>
            <w:rFonts w:ascii="Calibri" w:cs="Calibri" w:eastAsia="Calibri" w:hAnsi="Calibri"/>
            <w:b w:val="0"/>
            <w:sz w:val="22"/>
            <w:szCs w:val="22"/>
            <w:rtl w:val="0"/>
          </w:rPr>
          <w:tab/>
        </w:r>
      </w:hyperlink>
      <w:hyperlink w:anchor="h.26in1rg">
        <w:r w:rsidDel="00000000" w:rsidR="00000000" w:rsidRPr="00000000">
          <w:rPr>
            <w:rFonts w:ascii="Questrial" w:cs="Questrial" w:eastAsia="Questrial" w:hAnsi="Questrial"/>
            <w:b w:val="1"/>
            <w:color w:val="0000ff"/>
            <w:sz w:val="20"/>
            <w:szCs w:val="20"/>
            <w:u w:val="single"/>
            <w:rtl w:val="0"/>
          </w:rPr>
          <w:t xml:space="preserve">Remociones / Reducciones de GEI</w:t>
        </w:r>
      </w:hyperlink>
      <w:hyperlink w:anchor="h.26in1rg">
        <w:r w:rsidDel="00000000" w:rsidR="00000000" w:rsidRPr="00000000">
          <w:rPr>
            <w:rFonts w:ascii="Arial" w:cs="Arial" w:eastAsia="Arial" w:hAnsi="Arial"/>
            <w:b w:val="0"/>
            <w:sz w:val="20"/>
            <w:szCs w:val="20"/>
            <w:rtl w:val="0"/>
          </w:rPr>
          <w:tab/>
        </w:r>
      </w:hyperlink>
      <w:hyperlink w:anchor="h.26in1rg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tabs>
          <w:tab w:val="left" w:pos="660"/>
          <w:tab w:val="right" w:pos="8830"/>
        </w:tabs>
        <w:spacing w:after="100" w:before="0" w:line="240" w:lineRule="auto"/>
        <w:contextualSpacing w:val="0"/>
        <w:jc w:val="both"/>
      </w:pPr>
      <w:hyperlink w:anchor="h.lnxbz9">
        <w:r w:rsidDel="00000000" w:rsidR="00000000" w:rsidRPr="00000000">
          <w:rPr>
            <w:rFonts w:ascii="Questrial" w:cs="Questrial" w:eastAsia="Questrial" w:hAnsi="Questrial"/>
            <w:b w:val="1"/>
            <w:color w:val="0000ff"/>
            <w:sz w:val="20"/>
            <w:szCs w:val="20"/>
            <w:u w:val="single"/>
            <w:rtl w:val="0"/>
          </w:rPr>
          <w:t xml:space="preserve">V.</w:t>
        </w:r>
      </w:hyperlink>
      <w:hyperlink w:anchor="h.lnxbz9">
        <w:r w:rsidDel="00000000" w:rsidR="00000000" w:rsidRPr="00000000">
          <w:rPr>
            <w:rFonts w:ascii="Calibri" w:cs="Calibri" w:eastAsia="Calibri" w:hAnsi="Calibri"/>
            <w:b w:val="0"/>
            <w:sz w:val="22"/>
            <w:szCs w:val="22"/>
            <w:rtl w:val="0"/>
          </w:rPr>
          <w:tab/>
        </w:r>
      </w:hyperlink>
      <w:hyperlink w:anchor="h.lnxbz9">
        <w:r w:rsidDel="00000000" w:rsidR="00000000" w:rsidRPr="00000000">
          <w:rPr>
            <w:rFonts w:ascii="Questrial" w:cs="Questrial" w:eastAsia="Questrial" w:hAnsi="Questrial"/>
            <w:b w:val="1"/>
            <w:color w:val="0000ff"/>
            <w:sz w:val="20"/>
            <w:szCs w:val="20"/>
            <w:u w:val="single"/>
            <w:rtl w:val="0"/>
          </w:rPr>
          <w:t xml:space="preserve">Datos de la cuantificación de las emisiones de GEI a partir de la combustión de la Biomasa</w:t>
        </w:r>
      </w:hyperlink>
      <w:hyperlink w:anchor="h.lnxbz9">
        <w:r w:rsidDel="00000000" w:rsidR="00000000" w:rsidRPr="00000000">
          <w:rPr>
            <w:rFonts w:ascii="Arial" w:cs="Arial" w:eastAsia="Arial" w:hAnsi="Arial"/>
            <w:b w:val="0"/>
            <w:sz w:val="20"/>
            <w:szCs w:val="20"/>
            <w:rtl w:val="0"/>
          </w:rPr>
          <w:tab/>
        </w:r>
      </w:hyperlink>
      <w:hyperlink w:anchor="h.lnxbz9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tabs>
          <w:tab w:val="left" w:pos="660"/>
          <w:tab w:val="right" w:pos="8830"/>
        </w:tabs>
        <w:spacing w:after="100" w:before="0" w:line="240" w:lineRule="auto"/>
        <w:contextualSpacing w:val="0"/>
        <w:jc w:val="both"/>
      </w:pPr>
      <w:hyperlink w:anchor="h.35nkun2">
        <w:r w:rsidDel="00000000" w:rsidR="00000000" w:rsidRPr="00000000">
          <w:rPr>
            <w:rFonts w:ascii="Questrial" w:cs="Questrial" w:eastAsia="Questrial" w:hAnsi="Questrial"/>
            <w:b w:val="1"/>
            <w:color w:val="0000ff"/>
            <w:sz w:val="20"/>
            <w:szCs w:val="20"/>
            <w:u w:val="single"/>
            <w:rtl w:val="0"/>
          </w:rPr>
          <w:t xml:space="preserve">VI.</w:t>
        </w:r>
      </w:hyperlink>
      <w:hyperlink w:anchor="h.35nkun2">
        <w:r w:rsidDel="00000000" w:rsidR="00000000" w:rsidRPr="00000000">
          <w:rPr>
            <w:rFonts w:ascii="Calibri" w:cs="Calibri" w:eastAsia="Calibri" w:hAnsi="Calibri"/>
            <w:b w:val="0"/>
            <w:sz w:val="22"/>
            <w:szCs w:val="22"/>
            <w:rtl w:val="0"/>
          </w:rPr>
          <w:tab/>
        </w:r>
      </w:hyperlink>
      <w:hyperlink w:anchor="h.35nkun2">
        <w:r w:rsidDel="00000000" w:rsidR="00000000" w:rsidRPr="00000000">
          <w:rPr>
            <w:rFonts w:ascii="Questrial" w:cs="Questrial" w:eastAsia="Questrial" w:hAnsi="Questrial"/>
            <w:b w:val="1"/>
            <w:color w:val="0000ff"/>
            <w:sz w:val="20"/>
            <w:szCs w:val="20"/>
            <w:u w:val="single"/>
            <w:rtl w:val="0"/>
          </w:rPr>
          <w:t xml:space="preserve">Año base histórico seleccionado.</w:t>
        </w:r>
      </w:hyperlink>
      <w:hyperlink w:anchor="h.35nkun2">
        <w:r w:rsidDel="00000000" w:rsidR="00000000" w:rsidRPr="00000000">
          <w:rPr>
            <w:rFonts w:ascii="Arial" w:cs="Arial" w:eastAsia="Arial" w:hAnsi="Arial"/>
            <w:b w:val="0"/>
            <w:sz w:val="20"/>
            <w:szCs w:val="20"/>
            <w:rtl w:val="0"/>
          </w:rPr>
          <w:tab/>
        </w:r>
      </w:hyperlink>
      <w:hyperlink w:anchor="h.35nkun2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tabs>
          <w:tab w:val="left" w:pos="660"/>
          <w:tab w:val="right" w:pos="8830"/>
        </w:tabs>
        <w:spacing w:after="100" w:before="0" w:line="240" w:lineRule="auto"/>
        <w:contextualSpacing w:val="0"/>
        <w:jc w:val="both"/>
      </w:pPr>
      <w:hyperlink w:anchor="h.1ksv4uv">
        <w:r w:rsidDel="00000000" w:rsidR="00000000" w:rsidRPr="00000000">
          <w:rPr>
            <w:rFonts w:ascii="Questrial" w:cs="Questrial" w:eastAsia="Questrial" w:hAnsi="Questrial"/>
            <w:b w:val="1"/>
            <w:color w:val="0000ff"/>
            <w:sz w:val="20"/>
            <w:szCs w:val="20"/>
            <w:u w:val="single"/>
            <w:rtl w:val="0"/>
          </w:rPr>
          <w:t xml:space="preserve">VII.</w:t>
        </w:r>
      </w:hyperlink>
      <w:hyperlink w:anchor="h.1ksv4uv">
        <w:r w:rsidDel="00000000" w:rsidR="00000000" w:rsidRPr="00000000">
          <w:rPr>
            <w:rFonts w:ascii="Calibri" w:cs="Calibri" w:eastAsia="Calibri" w:hAnsi="Calibri"/>
            <w:b w:val="0"/>
            <w:sz w:val="22"/>
            <w:szCs w:val="22"/>
            <w:rtl w:val="0"/>
          </w:rPr>
          <w:tab/>
        </w:r>
      </w:hyperlink>
      <w:hyperlink w:anchor="h.1ksv4uv">
        <w:r w:rsidDel="00000000" w:rsidR="00000000" w:rsidRPr="00000000">
          <w:rPr>
            <w:rFonts w:ascii="Questrial" w:cs="Questrial" w:eastAsia="Questrial" w:hAnsi="Questrial"/>
            <w:b w:val="1"/>
            <w:color w:val="0000ff"/>
            <w:sz w:val="20"/>
            <w:szCs w:val="20"/>
            <w:u w:val="single"/>
            <w:rtl w:val="0"/>
          </w:rPr>
          <w:t xml:space="preserve">Metodologías de cuantificación.</w:t>
        </w:r>
      </w:hyperlink>
      <w:hyperlink w:anchor="h.1ksv4uv">
        <w:r w:rsidDel="00000000" w:rsidR="00000000" w:rsidRPr="00000000">
          <w:rPr>
            <w:rFonts w:ascii="Arial" w:cs="Arial" w:eastAsia="Arial" w:hAnsi="Arial"/>
            <w:b w:val="0"/>
            <w:sz w:val="20"/>
            <w:szCs w:val="20"/>
            <w:rtl w:val="0"/>
          </w:rPr>
          <w:tab/>
        </w:r>
      </w:hyperlink>
      <w:hyperlink w:anchor="h.1ksv4uv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tabs>
          <w:tab w:val="left" w:pos="660"/>
          <w:tab w:val="right" w:pos="8830"/>
        </w:tabs>
        <w:spacing w:after="100" w:before="0" w:line="240" w:lineRule="auto"/>
        <w:contextualSpacing w:val="0"/>
        <w:jc w:val="both"/>
      </w:pPr>
      <w:hyperlink w:anchor="h.2jxsxqh">
        <w:r w:rsidDel="00000000" w:rsidR="00000000" w:rsidRPr="00000000">
          <w:rPr>
            <w:rFonts w:ascii="Questrial" w:cs="Questrial" w:eastAsia="Questrial" w:hAnsi="Questrial"/>
            <w:b w:val="1"/>
            <w:color w:val="0000ff"/>
            <w:sz w:val="20"/>
            <w:szCs w:val="20"/>
            <w:u w:val="single"/>
            <w:rtl w:val="0"/>
          </w:rPr>
          <w:t xml:space="preserve">VIII.</w:t>
        </w:r>
      </w:hyperlink>
      <w:hyperlink w:anchor="h.2jxsxqh">
        <w:r w:rsidDel="00000000" w:rsidR="00000000" w:rsidRPr="00000000">
          <w:rPr>
            <w:rFonts w:ascii="Calibri" w:cs="Calibri" w:eastAsia="Calibri" w:hAnsi="Calibri"/>
            <w:b w:val="0"/>
            <w:sz w:val="22"/>
            <w:szCs w:val="22"/>
            <w:rtl w:val="0"/>
          </w:rPr>
          <w:tab/>
        </w:r>
      </w:hyperlink>
      <w:hyperlink w:anchor="h.2jxsxqh">
        <w:r w:rsidDel="00000000" w:rsidR="00000000" w:rsidRPr="00000000">
          <w:rPr>
            <w:rFonts w:ascii="Questrial" w:cs="Questrial" w:eastAsia="Questrial" w:hAnsi="Questrial"/>
            <w:b w:val="1"/>
            <w:color w:val="0000ff"/>
            <w:sz w:val="20"/>
            <w:szCs w:val="20"/>
            <w:u w:val="single"/>
            <w:rtl w:val="0"/>
          </w:rPr>
          <w:t xml:space="preserve">Factores de emisión o remoción de GEI.</w:t>
        </w:r>
      </w:hyperlink>
      <w:hyperlink w:anchor="h.2jxsxqh">
        <w:r w:rsidDel="00000000" w:rsidR="00000000" w:rsidRPr="00000000">
          <w:rPr>
            <w:rFonts w:ascii="Arial" w:cs="Arial" w:eastAsia="Arial" w:hAnsi="Arial"/>
            <w:b w:val="0"/>
            <w:sz w:val="20"/>
            <w:szCs w:val="20"/>
            <w:rtl w:val="0"/>
          </w:rPr>
          <w:tab/>
        </w:r>
      </w:hyperlink>
      <w:hyperlink w:anchor="h.2jxsxqh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tabs>
          <w:tab w:val="left" w:pos="660"/>
          <w:tab w:val="right" w:pos="8830"/>
        </w:tabs>
        <w:spacing w:after="100" w:before="0" w:line="240" w:lineRule="auto"/>
        <w:contextualSpacing w:val="0"/>
        <w:jc w:val="both"/>
      </w:pPr>
      <w:hyperlink w:anchor="h.z337ya">
        <w:r w:rsidDel="00000000" w:rsidR="00000000" w:rsidRPr="00000000">
          <w:rPr>
            <w:rFonts w:ascii="Questrial" w:cs="Questrial" w:eastAsia="Questrial" w:hAnsi="Questrial"/>
            <w:b w:val="1"/>
            <w:color w:val="0000ff"/>
            <w:sz w:val="20"/>
            <w:szCs w:val="20"/>
            <w:u w:val="single"/>
            <w:rtl w:val="0"/>
          </w:rPr>
          <w:t xml:space="preserve">IX.</w:t>
        </w:r>
      </w:hyperlink>
      <w:hyperlink w:anchor="h.z337ya">
        <w:r w:rsidDel="00000000" w:rsidR="00000000" w:rsidRPr="00000000">
          <w:rPr>
            <w:rFonts w:ascii="Calibri" w:cs="Calibri" w:eastAsia="Calibri" w:hAnsi="Calibri"/>
            <w:b w:val="0"/>
            <w:sz w:val="22"/>
            <w:szCs w:val="22"/>
            <w:rtl w:val="0"/>
          </w:rPr>
          <w:tab/>
        </w:r>
      </w:hyperlink>
      <w:hyperlink w:anchor="h.z337ya">
        <w:r w:rsidDel="00000000" w:rsidR="00000000" w:rsidRPr="00000000">
          <w:rPr>
            <w:rFonts w:ascii="Questrial" w:cs="Questrial" w:eastAsia="Questrial" w:hAnsi="Questrial"/>
            <w:b w:val="1"/>
            <w:color w:val="0000ff"/>
            <w:sz w:val="20"/>
            <w:szCs w:val="20"/>
            <w:u w:val="single"/>
            <w:rtl w:val="0"/>
          </w:rPr>
          <w:t xml:space="preserve">Impacto de las incertidumbres</w:t>
        </w:r>
      </w:hyperlink>
      <w:hyperlink w:anchor="h.z337ya">
        <w:r w:rsidDel="00000000" w:rsidR="00000000" w:rsidRPr="00000000">
          <w:rPr>
            <w:rFonts w:ascii="Arial" w:cs="Arial" w:eastAsia="Arial" w:hAnsi="Arial"/>
            <w:b w:val="0"/>
            <w:sz w:val="20"/>
            <w:szCs w:val="20"/>
            <w:rtl w:val="0"/>
          </w:rPr>
          <w:tab/>
        </w:r>
      </w:hyperlink>
      <w:hyperlink w:anchor="h.z337ya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tabs>
          <w:tab w:val="left" w:pos="660"/>
          <w:tab w:val="right" w:pos="8830"/>
        </w:tabs>
        <w:spacing w:after="100" w:before="0" w:line="240" w:lineRule="auto"/>
        <w:contextualSpacing w:val="0"/>
        <w:jc w:val="both"/>
      </w:pPr>
      <w:hyperlink w:anchor="h.1y810tw">
        <w:r w:rsidDel="00000000" w:rsidR="00000000" w:rsidRPr="00000000">
          <w:rPr>
            <w:rFonts w:ascii="Questrial" w:cs="Questrial" w:eastAsia="Questrial" w:hAnsi="Questrial"/>
            <w:b w:val="1"/>
            <w:color w:val="0000ff"/>
            <w:sz w:val="20"/>
            <w:szCs w:val="20"/>
            <w:u w:val="single"/>
            <w:rtl w:val="0"/>
          </w:rPr>
          <w:t xml:space="preserve">X.</w:t>
        </w:r>
      </w:hyperlink>
      <w:hyperlink w:anchor="h.1y810tw">
        <w:r w:rsidDel="00000000" w:rsidR="00000000" w:rsidRPr="00000000">
          <w:rPr>
            <w:rFonts w:ascii="Calibri" w:cs="Calibri" w:eastAsia="Calibri" w:hAnsi="Calibri"/>
            <w:b w:val="0"/>
            <w:sz w:val="22"/>
            <w:szCs w:val="22"/>
            <w:rtl w:val="0"/>
          </w:rPr>
          <w:tab/>
        </w:r>
      </w:hyperlink>
      <w:hyperlink w:anchor="h.1y810tw">
        <w:r w:rsidDel="00000000" w:rsidR="00000000" w:rsidRPr="00000000">
          <w:rPr>
            <w:rFonts w:ascii="Questrial" w:cs="Questrial" w:eastAsia="Questrial" w:hAnsi="Questrial"/>
            <w:b w:val="1"/>
            <w:color w:val="0000ff"/>
            <w:sz w:val="20"/>
            <w:szCs w:val="20"/>
            <w:u w:val="single"/>
            <w:rtl w:val="0"/>
          </w:rPr>
          <w:t xml:space="preserve">Resultados y conclusiones</w:t>
        </w:r>
      </w:hyperlink>
      <w:hyperlink w:anchor="h.1y810tw">
        <w:r w:rsidDel="00000000" w:rsidR="00000000" w:rsidRPr="00000000">
          <w:rPr>
            <w:rFonts w:ascii="Arial" w:cs="Arial" w:eastAsia="Arial" w:hAnsi="Arial"/>
            <w:b w:val="0"/>
            <w:sz w:val="20"/>
            <w:szCs w:val="20"/>
            <w:rtl w:val="0"/>
          </w:rPr>
          <w:tab/>
        </w:r>
      </w:hyperlink>
      <w:hyperlink w:anchor="h.1y810tw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spacing w:line="360" w:lineRule="auto"/>
        <w:contextualSpacing w:val="0"/>
      </w:pPr>
      <w:hyperlink r:id="rId5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contextualSpacing w:val="0"/>
        <w:jc w:val="left"/>
      </w:pPr>
      <w:bookmarkStart w:colFirst="0" w:colLast="0" w:name="h.30j0zll" w:id="1"/>
      <w:bookmarkEnd w:id="1"/>
      <w:hyperlink r:id="rId6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keepNext w:val="1"/>
        <w:keepLines w:val="1"/>
        <w:numPr>
          <w:ilvl w:val="0"/>
          <w:numId w:val="1"/>
        </w:numPr>
        <w:spacing w:after="120" w:before="480" w:line="360" w:lineRule="auto"/>
        <w:ind w:left="1080" w:hanging="720"/>
        <w:rPr>
          <w:rFonts w:ascii="Questrial" w:cs="Questrial" w:eastAsia="Questrial" w:hAnsi="Questrial"/>
          <w:b w:val="1"/>
          <w:color w:val="595959"/>
          <w:sz w:val="24"/>
          <w:szCs w:val="24"/>
        </w:rPr>
      </w:pPr>
      <w:bookmarkStart w:colFirst="0" w:colLast="0" w:name="h.1fob9te" w:id="2"/>
      <w:bookmarkEnd w:id="2"/>
      <w:r w:rsidDel="00000000" w:rsidR="00000000" w:rsidRPr="00000000">
        <w:rPr>
          <w:rFonts w:ascii="Questrial" w:cs="Questrial" w:eastAsia="Questrial" w:hAnsi="Questrial"/>
          <w:b w:val="1"/>
          <w:color w:val="595959"/>
          <w:sz w:val="24"/>
          <w:szCs w:val="24"/>
          <w:rtl w:val="0"/>
        </w:rPr>
        <w:t xml:space="preserve">Descripción de la organización.</w:t>
      </w:r>
    </w:p>
    <w:p w:rsidR="00000000" w:rsidDel="00000000" w:rsidP="00000000" w:rsidRDefault="00000000" w:rsidRPr="00000000">
      <w:pPr>
        <w:spacing w:after="120" w:before="12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numPr>
          <w:ilvl w:val="0"/>
          <w:numId w:val="1"/>
        </w:numPr>
        <w:spacing w:after="120" w:before="480" w:line="360" w:lineRule="auto"/>
        <w:ind w:left="1080" w:hanging="720"/>
        <w:rPr>
          <w:rFonts w:ascii="Questrial" w:cs="Questrial" w:eastAsia="Questrial" w:hAnsi="Questrial"/>
          <w:b w:val="1"/>
          <w:color w:val="595959"/>
          <w:sz w:val="24"/>
          <w:szCs w:val="24"/>
        </w:rPr>
      </w:pPr>
      <w:bookmarkStart w:colFirst="0" w:colLast="0" w:name="h.3znysh7" w:id="3"/>
      <w:bookmarkEnd w:id="3"/>
      <w:r w:rsidDel="00000000" w:rsidR="00000000" w:rsidRPr="00000000">
        <w:rPr>
          <w:rFonts w:ascii="Questrial" w:cs="Questrial" w:eastAsia="Questrial" w:hAnsi="Questrial"/>
          <w:b w:val="1"/>
          <w:color w:val="595959"/>
          <w:sz w:val="24"/>
          <w:szCs w:val="24"/>
          <w:rtl w:val="0"/>
        </w:rPr>
        <w:t xml:space="preserve">Alcance del Inventario de Gases de Efecto Invernadero.</w:t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bookmarkStart w:colFirst="0" w:colLast="0" w:name="h.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bookmarkStart w:colFirst="0" w:colLast="0" w:name="h.tyjcwt" w:id="5"/>
      <w:bookmarkEnd w:id="5"/>
      <w:r w:rsidDel="00000000" w:rsidR="00000000" w:rsidRPr="00000000">
        <w:rPr>
          <w:rFonts w:ascii="Questrial" w:cs="Questrial" w:eastAsia="Questrial" w:hAnsi="Questrial"/>
          <w:b w:val="1"/>
          <w:color w:val="9b9b9b"/>
          <w:sz w:val="24"/>
          <w:szCs w:val="24"/>
          <w:rtl w:val="0"/>
        </w:rPr>
        <w:t xml:space="preserve">Límites Operativos</w:t>
      </w:r>
    </w:p>
    <w:p w:rsidR="00000000" w:rsidDel="00000000" w:rsidP="00000000" w:rsidRDefault="00000000" w:rsidRPr="00000000">
      <w:pPr>
        <w:tabs>
          <w:tab w:val="left" w:pos="0"/>
        </w:tabs>
        <w:spacing w:after="0" w:before="0" w:line="36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bookmarkStart w:colFirst="0" w:colLast="0" w:name="h.3dy6vkm" w:id="6"/>
      <w:bookmarkEnd w:id="6"/>
      <w:r w:rsidDel="00000000" w:rsidR="00000000" w:rsidRPr="00000000">
        <w:rPr>
          <w:rFonts w:ascii="Questrial" w:cs="Questrial" w:eastAsia="Questrial" w:hAnsi="Questrial"/>
          <w:b w:val="1"/>
          <w:color w:val="9b9b9b"/>
          <w:sz w:val="24"/>
          <w:szCs w:val="24"/>
          <w:rtl w:val="0"/>
        </w:rPr>
        <w:t xml:space="preserve">Límites de la Organización</w:t>
      </w:r>
    </w:p>
    <w:p w:rsidR="00000000" w:rsidDel="00000000" w:rsidP="00000000" w:rsidRDefault="00000000" w:rsidRPr="00000000">
      <w:pPr>
        <w:spacing w:before="120" w:line="360" w:lineRule="auto"/>
        <w:ind w:left="36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bookmarkStart w:colFirst="0" w:colLast="0" w:name="h.1t3h5sf" w:id="7"/>
      <w:bookmarkEnd w:id="7"/>
      <w:r w:rsidDel="00000000" w:rsidR="00000000" w:rsidRPr="00000000">
        <w:rPr>
          <w:rFonts w:ascii="Questrial" w:cs="Questrial" w:eastAsia="Questrial" w:hAnsi="Questrial"/>
          <w:b w:val="1"/>
          <w:color w:val="9b9b9b"/>
          <w:sz w:val="24"/>
          <w:szCs w:val="24"/>
          <w:rtl w:val="0"/>
        </w:rPr>
        <w:t xml:space="preserve">Exclusiones en la cuantificación de fuentes o sumideros de GEI.</w:t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spacing w:before="200" w:line="360" w:lineRule="auto"/>
        <w:contextualSpacing w:val="0"/>
      </w:pPr>
      <w:bookmarkStart w:colFirst="0" w:colLast="0" w:name="h.4d34og8" w:id="8"/>
      <w:bookmarkEnd w:id="8"/>
      <w:r w:rsidDel="00000000" w:rsidR="00000000" w:rsidRPr="00000000">
        <w:rPr>
          <w:rFonts w:ascii="Questrial" w:cs="Questrial" w:eastAsia="Questrial" w:hAnsi="Questrial"/>
          <w:b w:val="1"/>
          <w:color w:val="9b9b9b"/>
          <w:sz w:val="24"/>
          <w:szCs w:val="24"/>
          <w:rtl w:val="0"/>
        </w:rPr>
        <w:t xml:space="preserve">Periodo que cubre el informe.</w:t>
      </w:r>
    </w:p>
    <w:p w:rsidR="00000000" w:rsidDel="00000000" w:rsidP="00000000" w:rsidRDefault="00000000" w:rsidRPr="00000000">
      <w:pPr>
        <w:keepNext w:val="1"/>
        <w:keepLines w:val="1"/>
        <w:numPr>
          <w:ilvl w:val="0"/>
          <w:numId w:val="1"/>
        </w:numPr>
        <w:spacing w:after="120" w:before="480" w:line="360" w:lineRule="auto"/>
        <w:ind w:left="1080" w:hanging="720"/>
        <w:rPr>
          <w:rFonts w:ascii="Questrial" w:cs="Questrial" w:eastAsia="Questrial" w:hAnsi="Questrial"/>
          <w:b w:val="1"/>
          <w:color w:val="595959"/>
          <w:sz w:val="24"/>
          <w:szCs w:val="24"/>
        </w:rPr>
      </w:pPr>
      <w:bookmarkStart w:colFirst="0" w:colLast="0" w:name="h.2s8eyo1" w:id="9"/>
      <w:bookmarkEnd w:id="9"/>
      <w:r w:rsidDel="00000000" w:rsidR="00000000" w:rsidRPr="00000000">
        <w:rPr>
          <w:rFonts w:ascii="Questrial" w:cs="Questrial" w:eastAsia="Questrial" w:hAnsi="Questrial"/>
          <w:b w:val="1"/>
          <w:color w:val="595959"/>
          <w:sz w:val="24"/>
          <w:szCs w:val="24"/>
          <w:rtl w:val="0"/>
        </w:rPr>
        <w:t xml:space="preserve">Datos de la cuantificación de las emisiones directas e indirectas.</w:t>
      </w:r>
    </w:p>
    <w:p w:rsidR="00000000" w:rsidDel="00000000" w:rsidP="00000000" w:rsidRDefault="00000000" w:rsidRPr="00000000">
      <w:pPr>
        <w:spacing w:line="360" w:lineRule="auto"/>
        <w:contextualSpacing w:val="0"/>
      </w:pPr>
      <w:bookmarkStart w:colFirst="0" w:colLast="0" w:name="h.17dp8vu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color w:val="9b9b9b"/>
          <w:sz w:val="24"/>
          <w:szCs w:val="24"/>
          <w:rtl w:val="0"/>
        </w:rPr>
        <w:t xml:space="preserve">Detalle de Emisiones Directas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bookmarkStart w:colFirst="0" w:colLast="0" w:name="h.3rdcrjn" w:id="11"/>
      <w:bookmarkEnd w:id="11"/>
      <w:r w:rsidDel="00000000" w:rsidR="00000000" w:rsidRPr="00000000">
        <w:rPr>
          <w:rFonts w:ascii="Questrial" w:cs="Questrial" w:eastAsia="Questrial" w:hAnsi="Questrial"/>
          <w:b w:val="1"/>
          <w:color w:val="9b9b9b"/>
          <w:sz w:val="24"/>
          <w:szCs w:val="24"/>
          <w:rtl w:val="0"/>
        </w:rPr>
        <w:t xml:space="preserve">Detalle de Emisiones Indirectas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numPr>
          <w:ilvl w:val="0"/>
          <w:numId w:val="1"/>
        </w:numPr>
        <w:spacing w:after="120" w:before="480" w:line="360" w:lineRule="auto"/>
        <w:ind w:left="1080" w:hanging="720"/>
        <w:rPr>
          <w:rFonts w:ascii="Questrial" w:cs="Questrial" w:eastAsia="Questrial" w:hAnsi="Questrial"/>
          <w:b w:val="1"/>
          <w:color w:val="595959"/>
          <w:sz w:val="24"/>
          <w:szCs w:val="24"/>
        </w:rPr>
      </w:pPr>
      <w:bookmarkStart w:colFirst="0" w:colLast="0" w:name="h.26in1rg" w:id="12"/>
      <w:bookmarkEnd w:id="12"/>
      <w:r w:rsidDel="00000000" w:rsidR="00000000" w:rsidRPr="00000000">
        <w:rPr>
          <w:rFonts w:ascii="Questrial" w:cs="Questrial" w:eastAsia="Questrial" w:hAnsi="Questrial"/>
          <w:b w:val="1"/>
          <w:color w:val="595959"/>
          <w:sz w:val="24"/>
          <w:szCs w:val="24"/>
          <w:rtl w:val="0"/>
        </w:rPr>
        <w:t xml:space="preserve">Remociones / Reducciones de GEI</w:t>
      </w:r>
    </w:p>
    <w:p w:rsidR="00000000" w:rsidDel="00000000" w:rsidP="00000000" w:rsidRDefault="00000000" w:rsidRPr="00000000">
      <w:pPr>
        <w:keepNext w:val="1"/>
        <w:keepLines w:val="1"/>
        <w:numPr>
          <w:ilvl w:val="0"/>
          <w:numId w:val="1"/>
        </w:numPr>
        <w:spacing w:after="120" w:before="480" w:line="360" w:lineRule="auto"/>
        <w:ind w:left="1080" w:hanging="720"/>
        <w:rPr>
          <w:rFonts w:ascii="Questrial" w:cs="Questrial" w:eastAsia="Questrial" w:hAnsi="Questrial"/>
          <w:b w:val="1"/>
          <w:color w:val="595959"/>
          <w:sz w:val="24"/>
          <w:szCs w:val="24"/>
        </w:rPr>
      </w:pPr>
      <w:bookmarkStart w:colFirst="0" w:colLast="0" w:name="h.lnxbz9" w:id="13"/>
      <w:bookmarkEnd w:id="13"/>
      <w:r w:rsidDel="00000000" w:rsidR="00000000" w:rsidRPr="00000000">
        <w:rPr>
          <w:rFonts w:ascii="Questrial" w:cs="Questrial" w:eastAsia="Questrial" w:hAnsi="Questrial"/>
          <w:b w:val="1"/>
          <w:color w:val="595959"/>
          <w:sz w:val="24"/>
          <w:szCs w:val="24"/>
          <w:rtl w:val="0"/>
        </w:rPr>
        <w:t xml:space="preserve">Datos de la cuantificación de las emisiones de GEI a partir de la combustión de la Biomasa</w:t>
      </w:r>
    </w:p>
    <w:p w:rsidR="00000000" w:rsidDel="00000000" w:rsidP="00000000" w:rsidRDefault="00000000" w:rsidRPr="00000000">
      <w:pPr>
        <w:keepNext w:val="1"/>
        <w:keepLines w:val="1"/>
        <w:numPr>
          <w:ilvl w:val="0"/>
          <w:numId w:val="1"/>
        </w:numPr>
        <w:spacing w:after="120" w:before="480" w:line="360" w:lineRule="auto"/>
        <w:ind w:left="1080" w:hanging="720"/>
        <w:rPr>
          <w:rFonts w:ascii="Questrial" w:cs="Questrial" w:eastAsia="Questrial" w:hAnsi="Questrial"/>
          <w:b w:val="1"/>
          <w:color w:val="595959"/>
          <w:sz w:val="24"/>
          <w:szCs w:val="24"/>
        </w:rPr>
      </w:pPr>
      <w:bookmarkStart w:colFirst="0" w:colLast="0" w:name="h.35nkun2" w:id="14"/>
      <w:bookmarkEnd w:id="14"/>
      <w:r w:rsidDel="00000000" w:rsidR="00000000" w:rsidRPr="00000000">
        <w:rPr>
          <w:rFonts w:ascii="Questrial" w:cs="Questrial" w:eastAsia="Questrial" w:hAnsi="Questrial"/>
          <w:b w:val="1"/>
          <w:color w:val="595959"/>
          <w:sz w:val="24"/>
          <w:szCs w:val="24"/>
          <w:rtl w:val="0"/>
        </w:rPr>
        <w:t xml:space="preserve">Año base histórico seleccionado.</w:t>
      </w:r>
    </w:p>
    <w:p w:rsidR="00000000" w:rsidDel="00000000" w:rsidP="00000000" w:rsidRDefault="00000000" w:rsidRPr="00000000">
      <w:pPr>
        <w:keepNext w:val="1"/>
        <w:keepLines w:val="1"/>
        <w:numPr>
          <w:ilvl w:val="0"/>
          <w:numId w:val="1"/>
        </w:numPr>
        <w:spacing w:after="120" w:before="480" w:line="360" w:lineRule="auto"/>
        <w:ind w:left="1080" w:hanging="720"/>
        <w:rPr>
          <w:rFonts w:ascii="Questrial" w:cs="Questrial" w:eastAsia="Questrial" w:hAnsi="Questrial"/>
          <w:b w:val="1"/>
          <w:color w:val="595959"/>
          <w:sz w:val="24"/>
          <w:szCs w:val="24"/>
        </w:rPr>
      </w:pPr>
      <w:bookmarkStart w:colFirst="0" w:colLast="0" w:name="h.1ksv4uv" w:id="15"/>
      <w:bookmarkEnd w:id="15"/>
      <w:r w:rsidDel="00000000" w:rsidR="00000000" w:rsidRPr="00000000">
        <w:rPr>
          <w:rFonts w:ascii="Questrial" w:cs="Questrial" w:eastAsia="Questrial" w:hAnsi="Questrial"/>
          <w:b w:val="1"/>
          <w:color w:val="595959"/>
          <w:sz w:val="24"/>
          <w:szCs w:val="24"/>
          <w:rtl w:val="0"/>
        </w:rPr>
        <w:t xml:space="preserve">Metodologías de cuantificación.</w:t>
      </w:r>
    </w:p>
    <w:p w:rsidR="00000000" w:rsidDel="00000000" w:rsidP="00000000" w:rsidRDefault="00000000" w:rsidRPr="00000000">
      <w:pPr>
        <w:spacing w:after="200" w:line="360" w:lineRule="auto"/>
        <w:contextualSpacing w:val="0"/>
        <w:jc w:val="left"/>
      </w:pPr>
      <w:bookmarkStart w:colFirst="0" w:colLast="0" w:name="h.44sinio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numPr>
          <w:ilvl w:val="0"/>
          <w:numId w:val="1"/>
        </w:numPr>
        <w:spacing w:after="120" w:before="480" w:line="360" w:lineRule="auto"/>
        <w:ind w:left="1080" w:hanging="720"/>
        <w:rPr>
          <w:rFonts w:ascii="Questrial" w:cs="Questrial" w:eastAsia="Questrial" w:hAnsi="Questrial"/>
          <w:b w:val="1"/>
          <w:color w:val="595959"/>
          <w:sz w:val="24"/>
          <w:szCs w:val="24"/>
        </w:rPr>
      </w:pPr>
      <w:bookmarkStart w:colFirst="0" w:colLast="0" w:name="h.2jxsxqh" w:id="17"/>
      <w:bookmarkEnd w:id="17"/>
      <w:r w:rsidDel="00000000" w:rsidR="00000000" w:rsidRPr="00000000">
        <w:rPr>
          <w:rFonts w:ascii="Questrial" w:cs="Questrial" w:eastAsia="Questrial" w:hAnsi="Questrial"/>
          <w:b w:val="1"/>
          <w:color w:val="595959"/>
          <w:sz w:val="24"/>
          <w:szCs w:val="24"/>
          <w:rtl w:val="0"/>
        </w:rPr>
        <w:t xml:space="preserve">Factores de emisión o remoción de GEI.</w:t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before="120"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Para este informe se emplearon los siguientes factores de emisión:</w:t>
      </w:r>
    </w:p>
    <w:tbl>
      <w:tblPr>
        <w:tblStyle w:val="Table1"/>
        <w:bidi w:val="0"/>
        <w:tblW w:w="11239.0" w:type="dxa"/>
        <w:jc w:val="left"/>
        <w:tblInd w:w="-915.0" w:type="dxa"/>
        <w:tblLayout w:type="fixed"/>
        <w:tblLook w:val="0400"/>
      </w:tblPr>
      <w:tblGrid>
        <w:gridCol w:w="1271"/>
        <w:gridCol w:w="633"/>
        <w:gridCol w:w="707"/>
        <w:gridCol w:w="566"/>
        <w:gridCol w:w="708"/>
        <w:gridCol w:w="706"/>
        <w:gridCol w:w="706"/>
        <w:gridCol w:w="706"/>
        <w:gridCol w:w="1216"/>
        <w:gridCol w:w="1418"/>
        <w:gridCol w:w="1188"/>
        <w:gridCol w:w="1414"/>
        <w:tblGridChange w:id="0">
          <w:tblGrid>
            <w:gridCol w:w="1271"/>
            <w:gridCol w:w="633"/>
            <w:gridCol w:w="707"/>
            <w:gridCol w:w="566"/>
            <w:gridCol w:w="708"/>
            <w:gridCol w:w="706"/>
            <w:gridCol w:w="706"/>
            <w:gridCol w:w="706"/>
            <w:gridCol w:w="1216"/>
            <w:gridCol w:w="1418"/>
            <w:gridCol w:w="1188"/>
            <w:gridCol w:w="1414"/>
          </w:tblGrid>
        </w:tblGridChange>
      </w:tblGrid>
      <w:tr>
        <w:trPr>
          <w:trHeight w:val="2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color w:val="000000"/>
                <w:sz w:val="24"/>
                <w:szCs w:val="24"/>
                <w:rtl w:val="0"/>
              </w:rPr>
              <w:t xml:space="preserve">Fuente de Emisión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color w:val="000000"/>
                <w:sz w:val="24"/>
                <w:szCs w:val="24"/>
                <w:rtl w:val="0"/>
              </w:rPr>
              <w:t xml:space="preserve">Potencial Calentamiento Global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color w:val="000000"/>
                <w:sz w:val="24"/>
                <w:szCs w:val="24"/>
                <w:rtl w:val="0"/>
              </w:rPr>
              <w:t xml:space="preserve">Factor de Emisión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color w:val="000000"/>
                <w:sz w:val="24"/>
                <w:szCs w:val="24"/>
                <w:rtl w:val="0"/>
              </w:rPr>
              <w:t xml:space="preserve">Unidad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color w:val="000000"/>
                <w:sz w:val="24"/>
                <w:szCs w:val="24"/>
                <w:rtl w:val="0"/>
              </w:rPr>
              <w:t xml:space="preserve">Metodología</w:t>
            </w:r>
          </w:p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color w:val="000000"/>
                <w:sz w:val="24"/>
                <w:szCs w:val="24"/>
                <w:rtl w:val="0"/>
              </w:rPr>
              <w:t xml:space="preserve">CO</w:t>
            </w:r>
            <w:r w:rsidDel="00000000" w:rsidR="00000000" w:rsidRPr="00000000">
              <w:rPr>
                <w:rFonts w:ascii="Questrial" w:cs="Questrial" w:eastAsia="Questrial" w:hAnsi="Questrial"/>
                <w:b w:val="1"/>
                <w:color w:val="000000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color w:val="000000"/>
                <w:sz w:val="24"/>
                <w:szCs w:val="24"/>
                <w:rtl w:val="0"/>
              </w:rPr>
              <w:t xml:space="preserve">CH</w:t>
            </w:r>
            <w:r w:rsidDel="00000000" w:rsidR="00000000" w:rsidRPr="00000000">
              <w:rPr>
                <w:rFonts w:ascii="Questrial" w:cs="Questrial" w:eastAsia="Questrial" w:hAnsi="Questrial"/>
                <w:b w:val="1"/>
                <w:color w:val="000000"/>
                <w:sz w:val="24"/>
                <w:szCs w:val="24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color w:val="000000"/>
                <w:sz w:val="24"/>
                <w:szCs w:val="24"/>
                <w:rtl w:val="0"/>
              </w:rPr>
              <w:t xml:space="preserve">N</w:t>
            </w:r>
            <w:r w:rsidDel="00000000" w:rsidR="00000000" w:rsidRPr="00000000">
              <w:rPr>
                <w:rFonts w:ascii="Questrial" w:cs="Questrial" w:eastAsia="Questrial" w:hAnsi="Questrial"/>
                <w:b w:val="1"/>
                <w:color w:val="000000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Questrial" w:cs="Questrial" w:eastAsia="Questrial" w:hAnsi="Questrial"/>
                <w:b w:val="1"/>
                <w:color w:val="000000"/>
                <w:sz w:val="24"/>
                <w:szCs w:val="24"/>
                <w:rtl w:val="0"/>
              </w:rPr>
              <w:t xml:space="preserve">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color w:val="000000"/>
                <w:sz w:val="24"/>
                <w:szCs w:val="24"/>
                <w:rtl w:val="0"/>
              </w:rPr>
              <w:t xml:space="preserve">R22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color w:val="000000"/>
                <w:sz w:val="24"/>
                <w:szCs w:val="24"/>
                <w:rtl w:val="0"/>
              </w:rPr>
              <w:t xml:space="preserve">R407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color w:val="000000"/>
                <w:sz w:val="24"/>
                <w:szCs w:val="24"/>
                <w:rtl w:val="0"/>
              </w:rPr>
              <w:t xml:space="preserve">R410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color w:val="000000"/>
                <w:sz w:val="24"/>
                <w:szCs w:val="24"/>
                <w:rtl w:val="0"/>
              </w:rPr>
              <w:t xml:space="preserve">CO</w:t>
            </w:r>
            <w:r w:rsidDel="00000000" w:rsidR="00000000" w:rsidRPr="00000000">
              <w:rPr>
                <w:rFonts w:ascii="Questrial" w:cs="Questrial" w:eastAsia="Questrial" w:hAnsi="Questrial"/>
                <w:b w:val="1"/>
                <w:color w:val="000000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color w:val="000000"/>
                <w:sz w:val="24"/>
                <w:szCs w:val="24"/>
                <w:rtl w:val="0"/>
              </w:rPr>
              <w:t xml:space="preserve">CH</w:t>
            </w:r>
            <w:r w:rsidDel="00000000" w:rsidR="00000000" w:rsidRPr="00000000">
              <w:rPr>
                <w:rFonts w:ascii="Questrial" w:cs="Questrial" w:eastAsia="Questrial" w:hAnsi="Questrial"/>
                <w:b w:val="1"/>
                <w:color w:val="000000"/>
                <w:sz w:val="24"/>
                <w:szCs w:val="24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color w:val="000000"/>
                <w:sz w:val="24"/>
                <w:szCs w:val="24"/>
                <w:rtl w:val="0"/>
              </w:rPr>
              <w:t xml:space="preserve">N2O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color w:val="000000"/>
                <w:sz w:val="24"/>
                <w:szCs w:val="24"/>
                <w:rtl w:val="0"/>
              </w:rPr>
              <w:t xml:space="preserve">Diésel Móvil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3a3838"/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404040"/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color w:val="000000"/>
                <w:sz w:val="24"/>
                <w:szCs w:val="24"/>
                <w:rtl w:val="0"/>
              </w:rPr>
              <w:t xml:space="preserve">Gasolina Móvil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3a3838"/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404040"/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color w:val="000000"/>
                <w:sz w:val="24"/>
                <w:szCs w:val="24"/>
                <w:rtl w:val="0"/>
              </w:rPr>
              <w:t xml:space="preserve">Diésel Fija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3a3838"/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404040"/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color w:val="000000"/>
                <w:sz w:val="24"/>
                <w:szCs w:val="24"/>
                <w:rtl w:val="0"/>
              </w:rPr>
              <w:t xml:space="preserve">Gas LP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3a3838"/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404040"/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color w:val="000000"/>
                <w:sz w:val="24"/>
                <w:szCs w:val="24"/>
                <w:rtl w:val="0"/>
              </w:rPr>
              <w:t xml:space="preserve">A/C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3a3838"/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3a3838"/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3a3838"/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3a3838"/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3a3838"/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color w:val="000000"/>
                <w:sz w:val="24"/>
                <w:szCs w:val="24"/>
                <w:rtl w:val="0"/>
              </w:rPr>
              <w:t xml:space="preserve">Extintores CO2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3a3838"/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3a3838"/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3a3838"/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3a3838"/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3a3838"/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color w:val="000000"/>
                <w:sz w:val="24"/>
                <w:szCs w:val="24"/>
                <w:rtl w:val="0"/>
              </w:rPr>
              <w:t xml:space="preserve">Tanques sépticos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3a3838"/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3a3838"/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3a3838"/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3a3838"/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a3838"/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a3838"/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3a3838"/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color w:val="000000"/>
                <w:sz w:val="24"/>
                <w:szCs w:val="24"/>
                <w:rtl w:val="0"/>
              </w:rPr>
              <w:t xml:space="preserve">Aguas Residuales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3a3838"/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3a3838"/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3a3838"/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3a3838"/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a3838"/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a3838"/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3a3838"/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color w:val="000000"/>
                <w:sz w:val="24"/>
                <w:szCs w:val="24"/>
                <w:rtl w:val="0"/>
              </w:rPr>
              <w:t xml:space="preserve">Electricidad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3a3838"/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3a3838"/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3a3838"/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3a3838"/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3a3838"/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color w:val="000000"/>
                <w:sz w:val="24"/>
                <w:szCs w:val="24"/>
                <w:rtl w:val="0"/>
              </w:rPr>
              <w:t xml:space="preserve">Residuos sólidos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3a3838"/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3a3838"/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3a3838"/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3a3838"/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a3838"/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a3838"/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3a3838"/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1"/>
        <w:keepLines w:val="1"/>
        <w:numPr>
          <w:ilvl w:val="0"/>
          <w:numId w:val="1"/>
        </w:numPr>
        <w:spacing w:after="120" w:before="480" w:line="360" w:lineRule="auto"/>
        <w:ind w:left="1080" w:hanging="720"/>
        <w:rPr>
          <w:rFonts w:ascii="Questrial" w:cs="Questrial" w:eastAsia="Questrial" w:hAnsi="Questrial"/>
          <w:b w:val="1"/>
          <w:color w:val="595959"/>
          <w:sz w:val="24"/>
          <w:szCs w:val="24"/>
        </w:rPr>
      </w:pPr>
      <w:bookmarkStart w:colFirst="0" w:colLast="0" w:name="h.z337ya" w:id="18"/>
      <w:bookmarkEnd w:id="18"/>
      <w:r w:rsidDel="00000000" w:rsidR="00000000" w:rsidRPr="00000000">
        <w:rPr>
          <w:rFonts w:ascii="Questrial" w:cs="Questrial" w:eastAsia="Questrial" w:hAnsi="Questrial"/>
          <w:b w:val="1"/>
          <w:color w:val="595959"/>
          <w:sz w:val="24"/>
          <w:szCs w:val="24"/>
          <w:rtl w:val="0"/>
        </w:rPr>
        <w:t xml:space="preserve">Impacto de las incertidumbres</w:t>
      </w:r>
    </w:p>
    <w:p w:rsidR="00000000" w:rsidDel="00000000" w:rsidP="00000000" w:rsidRDefault="00000000" w:rsidRPr="00000000">
      <w:pPr>
        <w:spacing w:after="200" w:line="360" w:lineRule="auto"/>
        <w:contextualSpacing w:val="0"/>
        <w:jc w:val="left"/>
      </w:pPr>
      <w:bookmarkStart w:colFirst="0" w:colLast="0" w:name="h.3j2qqm3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1"/>
        <w:numPr>
          <w:ilvl w:val="0"/>
          <w:numId w:val="1"/>
        </w:numPr>
        <w:spacing w:after="120" w:before="480" w:line="360" w:lineRule="auto"/>
        <w:ind w:left="1080" w:hanging="720"/>
        <w:rPr>
          <w:rFonts w:ascii="Questrial" w:cs="Questrial" w:eastAsia="Questrial" w:hAnsi="Questrial"/>
          <w:b w:val="1"/>
          <w:color w:val="595959"/>
          <w:sz w:val="24"/>
          <w:szCs w:val="24"/>
        </w:rPr>
      </w:pPr>
      <w:bookmarkStart w:colFirst="0" w:colLast="0" w:name="h.1y810tw" w:id="20"/>
      <w:bookmarkEnd w:id="20"/>
      <w:r w:rsidDel="00000000" w:rsidR="00000000" w:rsidRPr="00000000">
        <w:rPr>
          <w:rFonts w:ascii="Questrial" w:cs="Questrial" w:eastAsia="Questrial" w:hAnsi="Questrial"/>
          <w:b w:val="1"/>
          <w:color w:val="595959"/>
          <w:sz w:val="24"/>
          <w:szCs w:val="24"/>
          <w:rtl w:val="0"/>
        </w:rPr>
        <w:t xml:space="preserve">Resultados y conclusiones 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2" w:w="12242"/>
      <w:pgMar w:bottom="1701" w:top="1701" w:left="1701" w:right="17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Georgia"/>
  <w:font w:name="Calibri"/>
  <w:font w:name="Questrial">
    <w:embedRegular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spacing w:after="0" w:before="0" w:line="276" w:lineRule="auto"/>
      <w:ind w:left="0" w:right="0" w:firstLine="0"/>
      <w:contextualSpacing w:val="0"/>
      <w:jc w:val="left"/>
    </w:pPr>
    <w:r w:rsidDel="00000000" w:rsidR="00000000" w:rsidRPr="00000000">
      <w:rPr>
        <w:rtl w:val="0"/>
      </w:rPr>
    </w:r>
  </w:p>
  <w:tbl>
    <w:tblPr>
      <w:tblStyle w:val="Table3"/>
      <w:bidi w:val="0"/>
      <w:tblW w:w="7704.0" w:type="dxa"/>
      <w:jc w:val="center"/>
      <w:tblInd w:w="-115.0" w:type="dxa"/>
      <w:tblLayout w:type="fixed"/>
      <w:tblLook w:val="0400"/>
    </w:tblPr>
    <w:tblGrid>
      <w:gridCol w:w="3401"/>
      <w:gridCol w:w="709"/>
      <w:gridCol w:w="3594"/>
      <w:tblGridChange w:id="0">
        <w:tblGrid>
          <w:gridCol w:w="3401"/>
          <w:gridCol w:w="709"/>
          <w:gridCol w:w="3594"/>
        </w:tblGrid>
      </w:tblGridChange>
    </w:tblGrid>
    <w:tr>
      <w:tc>
        <w:tcPr>
          <w:tcBorders>
            <w:top w:color="000000" w:space="0" w:sz="4" w:val="single"/>
          </w:tcBorders>
          <w:vAlign w:val="center"/>
        </w:tcPr>
        <w:p w:rsidR="00000000" w:rsidDel="00000000" w:rsidP="00000000" w:rsidRDefault="00000000" w:rsidRPr="00000000">
          <w:pPr>
            <w:tabs>
              <w:tab w:val="center" w:pos="4252"/>
              <w:tab w:val="right" w:pos="8504"/>
            </w:tabs>
            <w:spacing w:after="709" w:before="0" w:line="240" w:lineRule="auto"/>
            <w:contextualSpacing w:val="0"/>
            <w:jc w:val="center"/>
          </w:pPr>
          <w:r w:rsidDel="00000000" w:rsidR="00000000" w:rsidRPr="00000000">
            <w:rPr>
              <w:rFonts w:ascii="Questrial" w:cs="Questrial" w:eastAsia="Questrial" w:hAnsi="Questrial"/>
              <w:b w:val="0"/>
              <w:i w:val="1"/>
              <w:sz w:val="14"/>
              <w:szCs w:val="14"/>
              <w:rtl w:val="0"/>
            </w:rPr>
            <w:t xml:space="preserve">Revisado por:</w:t>
          </w:r>
        </w:p>
      </w:tc>
      <w:tc>
        <w:tcPr>
          <w:vAlign w:val="center"/>
        </w:tcPr>
        <w:p w:rsidR="00000000" w:rsidDel="00000000" w:rsidP="00000000" w:rsidRDefault="00000000" w:rsidRPr="00000000">
          <w:pPr>
            <w:tabs>
              <w:tab w:val="center" w:pos="4252"/>
              <w:tab w:val="right" w:pos="8504"/>
            </w:tabs>
            <w:spacing w:after="709" w:before="0" w:line="240" w:lineRule="auto"/>
            <w:contextualSpacing w:val="0"/>
            <w:jc w:val="center"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</w:tcBorders>
          <w:vAlign w:val="center"/>
        </w:tcPr>
        <w:p w:rsidR="00000000" w:rsidDel="00000000" w:rsidP="00000000" w:rsidRDefault="00000000" w:rsidRPr="00000000">
          <w:pPr>
            <w:tabs>
              <w:tab w:val="center" w:pos="4252"/>
              <w:tab w:val="right" w:pos="8504"/>
            </w:tabs>
            <w:spacing w:after="709" w:before="0" w:line="240" w:lineRule="auto"/>
            <w:contextualSpacing w:val="0"/>
            <w:jc w:val="center"/>
          </w:pPr>
          <w:r w:rsidDel="00000000" w:rsidR="00000000" w:rsidRPr="00000000">
            <w:rPr>
              <w:rFonts w:ascii="Questrial" w:cs="Questrial" w:eastAsia="Questrial" w:hAnsi="Questrial"/>
              <w:b w:val="0"/>
              <w:i w:val="1"/>
              <w:sz w:val="14"/>
              <w:szCs w:val="14"/>
              <w:rtl w:val="0"/>
            </w:rPr>
            <w:t xml:space="preserve">Aprobado por:</w:t>
          </w:r>
        </w:p>
      </w:tc>
    </w:tr>
  </w:tbl>
  <w:p w:rsidR="00000000" w:rsidDel="00000000" w:rsidP="00000000" w:rsidRDefault="00000000" w:rsidRPr="00000000">
    <w:pPr>
      <w:tabs>
        <w:tab w:val="center" w:pos="4252"/>
        <w:tab w:val="right" w:pos="8504"/>
      </w:tabs>
      <w:spacing w:after="709" w:before="0" w:line="240" w:lineRule="auto"/>
      <w:contextualSpacing w:val="0"/>
      <w:jc w:val="both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spacing w:after="0" w:before="0" w:line="276" w:lineRule="auto"/>
      <w:ind w:left="0" w:right="0" w:firstLine="0"/>
      <w:contextualSpacing w:val="0"/>
      <w:jc w:val="left"/>
    </w:pPr>
    <w:r w:rsidDel="00000000" w:rsidR="00000000" w:rsidRPr="00000000">
      <w:rPr>
        <w:rtl w:val="0"/>
      </w:rPr>
    </w:r>
  </w:p>
  <w:tbl>
    <w:tblPr>
      <w:tblStyle w:val="Table2"/>
      <w:bidi w:val="0"/>
      <w:tblW w:w="9092.0" w:type="dxa"/>
      <w:jc w:val="center"/>
      <w:tblInd w:w="-11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440"/>
      <w:gridCol w:w="5280"/>
      <w:gridCol w:w="2372"/>
      <w:tblGridChange w:id="0">
        <w:tblGrid>
          <w:gridCol w:w="1440"/>
          <w:gridCol w:w="5280"/>
          <w:gridCol w:w="2372"/>
        </w:tblGrid>
      </w:tblGridChange>
    </w:tblGrid>
    <w:tr>
      <w:trPr>
        <w:trHeight w:val="240" w:hRule="atLeast"/>
      </w:trPr>
      <w:tc>
        <w:tcPr>
          <w:vMerge w:val="restart"/>
          <w:vAlign w:val="center"/>
        </w:tcPr>
        <w:p w:rsidR="00000000" w:rsidDel="00000000" w:rsidP="00000000" w:rsidRDefault="00000000" w:rsidRPr="00000000">
          <w:pPr>
            <w:tabs>
              <w:tab w:val="center" w:pos="4252"/>
              <w:tab w:val="right" w:pos="8504"/>
            </w:tabs>
            <w:spacing w:after="0" w:before="709" w:line="240" w:lineRule="auto"/>
            <w:contextualSpacing w:val="0"/>
            <w:jc w:val="center"/>
          </w:pPr>
          <w:r w:rsidDel="00000000" w:rsidR="00000000" w:rsidRPr="00000000">
            <w:rPr>
              <w:rFonts w:ascii="Questrial" w:cs="Questrial" w:eastAsia="Questrial" w:hAnsi="Questrial"/>
              <w:b w:val="0"/>
              <w:sz w:val="16"/>
              <w:szCs w:val="16"/>
              <w:rtl w:val="0"/>
            </w:rPr>
            <w:t xml:space="preserve">LOGO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>
          <w:pPr>
            <w:tabs>
              <w:tab w:val="center" w:pos="4252"/>
              <w:tab w:val="right" w:pos="8504"/>
            </w:tabs>
            <w:spacing w:after="0" w:before="709" w:line="240" w:lineRule="auto"/>
            <w:contextualSpacing w:val="0"/>
            <w:jc w:val="left"/>
          </w:pPr>
          <w:r w:rsidDel="00000000" w:rsidR="00000000" w:rsidRPr="00000000">
            <w:rPr>
              <w:rFonts w:ascii="Questrial" w:cs="Questrial" w:eastAsia="Questrial" w:hAnsi="Questrial"/>
              <w:b w:val="0"/>
              <w:sz w:val="16"/>
              <w:szCs w:val="16"/>
              <w:rtl w:val="0"/>
            </w:rPr>
            <w:t xml:space="preserve">Área Gestora: </w:t>
          </w:r>
        </w:p>
        <w:p w:rsidR="00000000" w:rsidDel="00000000" w:rsidP="00000000" w:rsidRDefault="00000000" w:rsidRPr="00000000">
          <w:pPr>
            <w:tabs>
              <w:tab w:val="center" w:pos="4252"/>
              <w:tab w:val="right" w:pos="8504"/>
            </w:tabs>
            <w:spacing w:after="0" w:before="0" w:line="240" w:lineRule="auto"/>
            <w:contextualSpacing w:val="0"/>
            <w:jc w:val="left"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tabs>
              <w:tab w:val="center" w:pos="4252"/>
              <w:tab w:val="right" w:pos="8504"/>
            </w:tabs>
            <w:spacing w:after="0" w:before="0" w:line="240" w:lineRule="auto"/>
            <w:contextualSpacing w:val="0"/>
            <w:jc w:val="left"/>
          </w:pPr>
          <w:r w:rsidDel="00000000" w:rsidR="00000000" w:rsidRPr="00000000">
            <w:rPr>
              <w:rFonts w:ascii="Questrial" w:cs="Questrial" w:eastAsia="Questrial" w:hAnsi="Questrial"/>
              <w:b w:val="0"/>
              <w:sz w:val="16"/>
              <w:szCs w:val="16"/>
              <w:rtl w:val="0"/>
            </w:rPr>
            <w:t xml:space="preserve">XX-XX-XX-2015</w:t>
          </w:r>
        </w:p>
        <w:p w:rsidR="00000000" w:rsidDel="00000000" w:rsidP="00000000" w:rsidRDefault="00000000" w:rsidRPr="00000000">
          <w:pPr>
            <w:tabs>
              <w:tab w:val="center" w:pos="4252"/>
              <w:tab w:val="right" w:pos="8504"/>
            </w:tabs>
            <w:spacing w:after="0" w:before="0" w:line="240" w:lineRule="auto"/>
            <w:contextualSpacing w:val="0"/>
            <w:jc w:val="both"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tabs>
              <w:tab w:val="center" w:pos="4252"/>
              <w:tab w:val="right" w:pos="8504"/>
            </w:tabs>
            <w:spacing w:after="0" w:before="0" w:line="240" w:lineRule="auto"/>
            <w:contextualSpacing w:val="0"/>
            <w:jc w:val="both"/>
          </w:pPr>
          <w:r w:rsidDel="00000000" w:rsidR="00000000" w:rsidRPr="00000000">
            <w:rPr>
              <w:rFonts w:ascii="Questrial" w:cs="Questrial" w:eastAsia="Questrial" w:hAnsi="Questrial"/>
              <w:b w:val="0"/>
              <w:sz w:val="16"/>
              <w:szCs w:val="16"/>
              <w:rtl w:val="0"/>
            </w:rPr>
            <w:t xml:space="preserve">Título: Informe de Inventario de Emisión de GEI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>
          <w:pPr>
            <w:tabs>
              <w:tab w:val="center" w:pos="4252"/>
              <w:tab w:val="right" w:pos="8504"/>
            </w:tabs>
            <w:spacing w:after="0" w:before="709" w:line="240" w:lineRule="auto"/>
            <w:contextualSpacing w:val="0"/>
            <w:jc w:val="center"/>
          </w:pPr>
          <w:r w:rsidDel="00000000" w:rsidR="00000000" w:rsidRPr="00000000">
            <w:rPr>
              <w:rFonts w:ascii="Questrial" w:cs="Questrial" w:eastAsia="Questrial" w:hAnsi="Questrial"/>
              <w:b w:val="0"/>
              <w:sz w:val="16"/>
              <w:szCs w:val="16"/>
              <w:rtl w:val="0"/>
            </w:rPr>
            <w:t xml:space="preserve">Pública ( x )      Privada (   )</w:t>
          </w:r>
        </w:p>
      </w:tc>
    </w:tr>
    <w:tr>
      <w:trPr>
        <w:trHeight w:val="320" w:hRule="atLeast"/>
      </w:trPr>
      <w:tc>
        <w:tcPr>
          <w:vMerge w:val="continue"/>
          <w:vAlign w:val="center"/>
        </w:tcPr>
        <w:p w:rsidR="00000000" w:rsidDel="00000000" w:rsidP="00000000" w:rsidRDefault="00000000" w:rsidRPr="00000000">
          <w:pPr>
            <w:keepNext w:val="0"/>
            <w:keepLines w:val="0"/>
            <w:widowControl w:val="0"/>
            <w:spacing w:after="0" w:before="0" w:line="276" w:lineRule="auto"/>
            <w:ind w:left="0" w:right="0" w:firstLine="0"/>
            <w:contextualSpacing w:val="0"/>
            <w:jc w:val="left"/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>
          <w:pPr>
            <w:tabs>
              <w:tab w:val="center" w:pos="4252"/>
              <w:tab w:val="right" w:pos="8504"/>
            </w:tabs>
            <w:spacing w:after="0" w:before="709" w:line="240" w:lineRule="auto"/>
            <w:contextualSpacing w:val="0"/>
            <w:jc w:val="center"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tabs>
              <w:tab w:val="center" w:pos="4252"/>
              <w:tab w:val="right" w:pos="8504"/>
            </w:tabs>
            <w:spacing w:after="0" w:before="709" w:line="240" w:lineRule="auto"/>
            <w:contextualSpacing w:val="0"/>
            <w:jc w:val="left"/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>
          <w:pPr>
            <w:tabs>
              <w:tab w:val="center" w:pos="4252"/>
              <w:tab w:val="right" w:pos="8504"/>
            </w:tabs>
            <w:spacing w:after="0" w:before="709" w:line="240" w:lineRule="auto"/>
            <w:contextualSpacing w:val="0"/>
            <w:jc w:val="center"/>
          </w:pPr>
          <w:r w:rsidDel="00000000" w:rsidR="00000000" w:rsidRPr="00000000">
            <w:rPr>
              <w:rFonts w:ascii="Questrial" w:cs="Questrial" w:eastAsia="Questrial" w:hAnsi="Questrial"/>
              <w:b w:val="0"/>
              <w:color w:val="000000"/>
              <w:sz w:val="16"/>
              <w:szCs w:val="16"/>
              <w:highlight w:val="yellow"/>
              <w:rtl w:val="0"/>
            </w:rPr>
            <w:t xml:space="preserve">Revisión 01-2015</w:t>
          </w:r>
          <w:r w:rsidDel="00000000" w:rsidR="00000000" w:rsidRPr="00000000">
            <w:rPr>
              <w:rtl w:val="0"/>
            </w:rPr>
          </w:r>
        </w:p>
      </w:tc>
    </w:tr>
    <w:tr>
      <w:trPr>
        <w:trHeight w:val="160" w:hRule="atLeast"/>
      </w:trPr>
      <w:tc>
        <w:tcPr>
          <w:vMerge w:val="continue"/>
          <w:vAlign w:val="center"/>
        </w:tcPr>
        <w:p w:rsidR="00000000" w:rsidDel="00000000" w:rsidP="00000000" w:rsidRDefault="00000000" w:rsidRPr="00000000">
          <w:pPr>
            <w:keepNext w:val="0"/>
            <w:keepLines w:val="0"/>
            <w:widowControl w:val="0"/>
            <w:spacing w:after="0" w:before="0" w:line="276" w:lineRule="auto"/>
            <w:ind w:left="0" w:right="0" w:firstLine="0"/>
            <w:contextualSpacing w:val="0"/>
            <w:jc w:val="left"/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>
          <w:pPr>
            <w:tabs>
              <w:tab w:val="center" w:pos="4252"/>
              <w:tab w:val="right" w:pos="8504"/>
            </w:tabs>
            <w:spacing w:after="0" w:before="709" w:line="240" w:lineRule="auto"/>
            <w:contextualSpacing w:val="0"/>
            <w:jc w:val="center"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tabs>
              <w:tab w:val="center" w:pos="4252"/>
              <w:tab w:val="right" w:pos="8504"/>
            </w:tabs>
            <w:spacing w:after="0" w:before="709" w:line="240" w:lineRule="auto"/>
            <w:contextualSpacing w:val="0"/>
            <w:jc w:val="left"/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>
          <w:pPr>
            <w:tabs>
              <w:tab w:val="center" w:pos="4252"/>
              <w:tab w:val="right" w:pos="8504"/>
            </w:tabs>
            <w:spacing w:after="0" w:before="709" w:line="240" w:lineRule="auto"/>
            <w:contextualSpacing w:val="0"/>
            <w:jc w:val="center"/>
          </w:pPr>
          <w:r w:rsidDel="00000000" w:rsidR="00000000" w:rsidRPr="00000000">
            <w:rPr>
              <w:rFonts w:ascii="Questrial" w:cs="Questrial" w:eastAsia="Questrial" w:hAnsi="Questrial"/>
              <w:b w:val="0"/>
              <w:sz w:val="16"/>
              <w:szCs w:val="16"/>
              <w:rtl w:val="0"/>
            </w:rPr>
            <w:t xml:space="preserve">Página </w:t>
          </w:r>
          <w:fldSimple w:instr="PAGE" w:fldLock="0" w:dirty="0">
            <w:r w:rsidDel="00000000" w:rsidR="00000000" w:rsidRPr="00000000">
              <w:rPr>
                <w:rFonts w:ascii="Questrial" w:cs="Questrial" w:eastAsia="Questrial" w:hAnsi="Questrial"/>
                <w:b w:val="0"/>
                <w:sz w:val="16"/>
                <w:szCs w:val="16"/>
              </w:rPr>
            </w:r>
          </w:fldSimple>
          <w:r w:rsidDel="00000000" w:rsidR="00000000" w:rsidRPr="00000000">
            <w:rPr>
              <w:rFonts w:ascii="Questrial" w:cs="Questrial" w:eastAsia="Questrial" w:hAnsi="Questrial"/>
              <w:b w:val="0"/>
              <w:sz w:val="16"/>
              <w:szCs w:val="16"/>
              <w:rtl w:val="0"/>
            </w:rPr>
            <w:t xml:space="preserve"> de  </w:t>
          </w:r>
          <w:fldSimple w:instr="NUMPAGES" w:fldLock="0" w:dirty="0">
            <w:r w:rsidDel="00000000" w:rsidR="00000000" w:rsidRPr="00000000">
              <w:rPr>
                <w:rFonts w:ascii="Questrial" w:cs="Questrial" w:eastAsia="Questrial" w:hAnsi="Questrial"/>
                <w:b w:val="0"/>
                <w:sz w:val="16"/>
                <w:szCs w:val="16"/>
              </w:rPr>
            </w:r>
          </w:fldSimple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>
    <w:pPr>
      <w:tabs>
        <w:tab w:val="center" w:pos="4252"/>
        <w:tab w:val="right" w:pos="8504"/>
      </w:tabs>
      <w:spacing w:after="0" w:before="709" w:line="240" w:lineRule="auto"/>
      <w:contextualSpacing w:val="0"/>
      <w:jc w:val="both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upperRoman"/>
      <w:lvlText w:val="%1."/>
      <w:lvlJc w:val="left"/>
      <w:pPr>
        <w:ind w:left="108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tabs>
        <w:tab w:val="left" w:pos="180"/>
        <w:tab w:val="left" w:pos="360"/>
        <w:tab w:val="left" w:pos="540"/>
      </w:tabs>
      <w:spacing w:after="0" w:before="0" w:line="240" w:lineRule="auto"/>
      <w:jc w:val="both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240" w:line="240" w:lineRule="auto"/>
      <w:jc w:val="both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="240" w:lineRule="auto"/>
      <w:jc w:val="both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="240" w:lineRule="auto"/>
      <w:jc w:val="center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://#_Toc437190525" TargetMode="External"/><Relationship Id="rId6" Type="http://schemas.openxmlformats.org/officeDocument/2006/relationships/hyperlink" Target="http://#_Toc437190525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estrial-regular.ttf"/></Relationships>
</file>