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9" w:rsidRDefault="00DB5919" w:rsidP="003A07CF">
      <w:pPr>
        <w:spacing w:after="0" w:line="240" w:lineRule="auto"/>
        <w:jc w:val="both"/>
        <w:rPr>
          <w:b/>
        </w:rPr>
      </w:pPr>
      <w:r>
        <w:rPr>
          <w:b/>
        </w:rPr>
        <w:t>INFORMACION DEL SISTEMA DE FORMACIÓN</w:t>
      </w:r>
    </w:p>
    <w:p w:rsidR="00FA47E8" w:rsidRDefault="00FA47E8" w:rsidP="003A07CF">
      <w:pPr>
        <w:spacing w:after="0" w:line="240" w:lineRule="auto"/>
        <w:jc w:val="both"/>
        <w:rPr>
          <w:b/>
        </w:rPr>
      </w:pPr>
    </w:p>
    <w:p w:rsidR="00FA47E8" w:rsidRDefault="00FA47E8" w:rsidP="003A07CF">
      <w:pPr>
        <w:spacing w:after="0" w:line="240" w:lineRule="auto"/>
        <w:jc w:val="both"/>
        <w:rPr>
          <w:b/>
        </w:rPr>
      </w:pPr>
      <w:r w:rsidRPr="00873862">
        <w:rPr>
          <w:b/>
          <w:i/>
        </w:rPr>
        <w:t>“Sistema de Formación en Resiliencia para los territorios de Centroamérica y República Dominicana, en el marco de las políticas del Consejo Agropecuario Centroamericano (CAC)”</w:t>
      </w:r>
      <w:r>
        <w:rPr>
          <w:b/>
        </w:rPr>
        <w:t>.</w:t>
      </w:r>
    </w:p>
    <w:p w:rsidR="00FA47E8" w:rsidRDefault="00FA47E8" w:rsidP="003A07CF">
      <w:pPr>
        <w:spacing w:after="0" w:line="240" w:lineRule="auto"/>
        <w:jc w:val="both"/>
        <w:rPr>
          <w:b/>
        </w:rPr>
      </w:pPr>
    </w:p>
    <w:p w:rsidR="00044F31" w:rsidRDefault="00044F31" w:rsidP="003A07CF">
      <w:pPr>
        <w:spacing w:after="0" w:line="240" w:lineRule="auto"/>
        <w:jc w:val="both"/>
        <w:rPr>
          <w:b/>
        </w:rPr>
      </w:pPr>
      <w:r>
        <w:rPr>
          <w:b/>
        </w:rPr>
        <w:t xml:space="preserve">Programa de formación en </w:t>
      </w:r>
      <w:r w:rsidR="008638DC" w:rsidRPr="008638DC">
        <w:rPr>
          <w:b/>
        </w:rPr>
        <w:t>gestión de reducción del riesgo</w:t>
      </w:r>
      <w:r w:rsidR="008638DC">
        <w:rPr>
          <w:b/>
        </w:rPr>
        <w:t xml:space="preserve"> agroclimático</w:t>
      </w:r>
    </w:p>
    <w:p w:rsidR="008638DC" w:rsidRPr="00331385" w:rsidRDefault="008638DC" w:rsidP="003A07CF">
      <w:pPr>
        <w:spacing w:after="0" w:line="240" w:lineRule="auto"/>
        <w:jc w:val="both"/>
        <w:rPr>
          <w:b/>
        </w:rPr>
      </w:pPr>
    </w:p>
    <w:p w:rsidR="00FA47E8" w:rsidRDefault="00FA47E8" w:rsidP="003A07CF">
      <w:pPr>
        <w:spacing w:after="0" w:line="240" w:lineRule="auto"/>
        <w:jc w:val="both"/>
      </w:pPr>
    </w:p>
    <w:p w:rsidR="00FA47E8" w:rsidRDefault="00044F31" w:rsidP="003A07CF">
      <w:pPr>
        <w:spacing w:after="0" w:line="240" w:lineRule="auto"/>
        <w:jc w:val="both"/>
        <w:rPr>
          <w:b/>
        </w:rPr>
      </w:pPr>
      <w:r>
        <w:rPr>
          <w:b/>
        </w:rPr>
        <w:t>1.1</w:t>
      </w:r>
      <w:r>
        <w:rPr>
          <w:b/>
        </w:rPr>
        <w:tab/>
        <w:t xml:space="preserve">Objetivo del Sistema </w:t>
      </w:r>
      <w:r w:rsidR="002B5F34">
        <w:rPr>
          <w:b/>
        </w:rPr>
        <w:t xml:space="preserve">y </w:t>
      </w:r>
      <w:r>
        <w:rPr>
          <w:b/>
        </w:rPr>
        <w:t>el Programa</w:t>
      </w:r>
      <w:r w:rsidR="002B5F34">
        <w:rPr>
          <w:b/>
        </w:rPr>
        <w:t xml:space="preserve"> de Formación en Resiliencia y</w:t>
      </w:r>
    </w:p>
    <w:p w:rsidR="00044F31" w:rsidRDefault="00044F31" w:rsidP="003A07CF">
      <w:pPr>
        <w:spacing w:after="0" w:line="240" w:lineRule="auto"/>
        <w:jc w:val="both"/>
      </w:pPr>
    </w:p>
    <w:p w:rsidR="002B5F34" w:rsidRDefault="00044F31" w:rsidP="003A07CF">
      <w:pPr>
        <w:spacing w:after="0" w:line="240" w:lineRule="auto"/>
        <w:jc w:val="both"/>
      </w:pPr>
      <w:r>
        <w:t>El Sistema de Formación busca c</w:t>
      </w:r>
      <w:r w:rsidR="00FA47E8" w:rsidRPr="00FA0B47">
        <w:t>ontribuir al mejoramiento de la Resiliencia de los medios de vida de las familias fren</w:t>
      </w:r>
      <w:r>
        <w:t>t</w:t>
      </w:r>
      <w:r w:rsidR="00FA47E8" w:rsidRPr="00FA0B47">
        <w:t xml:space="preserve">e a las amenazas y las emergencias en </w:t>
      </w:r>
      <w:r w:rsidR="008638DC">
        <w:t>Centroamérica</w:t>
      </w:r>
      <w:r w:rsidR="002B5F34">
        <w:t xml:space="preserve"> y República Dominicana mediante: </w:t>
      </w:r>
    </w:p>
    <w:p w:rsidR="002B5F34" w:rsidRDefault="002B5F34" w:rsidP="007162D4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2B5F34">
        <w:t>una plataforma virtual vinculada a la red de comunicación especializada denominada ‘Red Agro y Clima’;</w:t>
      </w:r>
      <w:r w:rsidR="007162D4">
        <w:t xml:space="preserve"> </w:t>
      </w:r>
      <w:r w:rsidR="007162D4" w:rsidRPr="007162D4">
        <w:rPr>
          <w:b/>
        </w:rPr>
        <w:t>Ver vínculo</w:t>
      </w:r>
      <w:r w:rsidR="007162D4">
        <w:t xml:space="preserve">: </w:t>
      </w:r>
      <w:hyperlink r:id="rId9" w:history="1">
        <w:r w:rsidR="007162D4" w:rsidRPr="00451669">
          <w:rPr>
            <w:rStyle w:val="Hyperlink"/>
          </w:rPr>
          <w:t>https://sites.google.com/a/iica.int/plataforma-del-grupo-tecnico-de-cambio-climatico-y-gestion-integral-del-riesgo-del-cac/home/grupo-tecnico/herramientas</w:t>
        </w:r>
      </w:hyperlink>
      <w:r w:rsidR="007162D4">
        <w:t xml:space="preserve"> </w:t>
      </w:r>
      <w:r w:rsidRPr="002B5F34">
        <w:t xml:space="preserve"> </w:t>
      </w:r>
    </w:p>
    <w:p w:rsidR="002B5F34" w:rsidRDefault="002B5F34" w:rsidP="003A07C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2B5F34">
        <w:t xml:space="preserve">un Comité de Expertos (gobierno, sociedad civil y cooperantes), quienes apoyan la estructura, funcionamiento y seguimiento del Sistema de Formación; y, </w:t>
      </w:r>
    </w:p>
    <w:p w:rsidR="002B5F34" w:rsidRDefault="002B5F34" w:rsidP="003A07C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un</w:t>
      </w:r>
      <w:r w:rsidRPr="002B5F34">
        <w:t xml:space="preserve"> programa de formación en gestión del riesgo agroclimático </w:t>
      </w:r>
      <w:r>
        <w:t>para de</w:t>
      </w:r>
      <w:r w:rsidRPr="002B5F34">
        <w:t>sarrolla</w:t>
      </w:r>
      <w:r>
        <w:t xml:space="preserve">r y vincular </w:t>
      </w:r>
      <w:r w:rsidRPr="002B5F34">
        <w:t xml:space="preserve">capacitadores nacionales, capacitadores sub-nacionales y promotores locales; y, </w:t>
      </w:r>
    </w:p>
    <w:p w:rsidR="00FA47E8" w:rsidRDefault="002B5F34" w:rsidP="003A07C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2B5F34">
        <w:t>un mecanismo de monitoreo y evaluación.</w:t>
      </w:r>
    </w:p>
    <w:p w:rsidR="00DA4DEC" w:rsidRDefault="00DA4DEC" w:rsidP="003A07CF">
      <w:pPr>
        <w:spacing w:after="0" w:line="240" w:lineRule="auto"/>
        <w:jc w:val="both"/>
      </w:pPr>
    </w:p>
    <w:p w:rsidR="00DA4DEC" w:rsidRDefault="00DA4DEC" w:rsidP="003A07CF">
      <w:pPr>
        <w:spacing w:after="0" w:line="240" w:lineRule="auto"/>
        <w:jc w:val="both"/>
      </w:pPr>
      <w:r>
        <w:t xml:space="preserve">El Programa de formación contribuye a los objetivos del Sistema de Formación a través </w:t>
      </w:r>
      <w:r w:rsidR="002B5F34">
        <w:t xml:space="preserve">de conocimientos y herramientas consensuados </w:t>
      </w:r>
      <w:r>
        <w:t xml:space="preserve">para la gestión del riesgo agroclimático, generados y de aplicación en los países del Sistema de Integración Centroamericana. </w:t>
      </w:r>
    </w:p>
    <w:p w:rsidR="00FA47E8" w:rsidRPr="00FA0B47" w:rsidRDefault="00FA47E8" w:rsidP="003A07CF">
      <w:pPr>
        <w:spacing w:after="0" w:line="240" w:lineRule="auto"/>
        <w:jc w:val="both"/>
      </w:pPr>
    </w:p>
    <w:p w:rsidR="00FA47E8" w:rsidRPr="00D93732" w:rsidRDefault="00FA47E8" w:rsidP="003A07CF">
      <w:pPr>
        <w:spacing w:after="0" w:line="240" w:lineRule="auto"/>
        <w:jc w:val="both"/>
        <w:rPr>
          <w:b/>
        </w:rPr>
      </w:pPr>
      <w:r w:rsidRPr="00D93732">
        <w:rPr>
          <w:b/>
        </w:rPr>
        <w:t>1.2</w:t>
      </w:r>
      <w:r w:rsidRPr="00D93732">
        <w:rPr>
          <w:b/>
        </w:rPr>
        <w:tab/>
        <w:t>Resultados Esperados:</w:t>
      </w:r>
    </w:p>
    <w:p w:rsidR="00AB19FB" w:rsidRPr="00D93732" w:rsidRDefault="00AB19FB" w:rsidP="003A07CF">
      <w:pPr>
        <w:spacing w:after="0" w:line="240" w:lineRule="auto"/>
        <w:jc w:val="both"/>
      </w:pPr>
    </w:p>
    <w:p w:rsidR="00FA47E8" w:rsidRPr="00D93732" w:rsidRDefault="00FA47E8" w:rsidP="003A07CF">
      <w:pPr>
        <w:spacing w:after="0" w:line="240" w:lineRule="auto"/>
        <w:jc w:val="both"/>
      </w:pPr>
      <w:r w:rsidRPr="00D93732">
        <w:t>Instituciones regionales, nacionales y locales y otros actores clave refuerzan sus capacidades</w:t>
      </w:r>
      <w:r w:rsidR="002B5F34" w:rsidRPr="00D93732">
        <w:t xml:space="preserve"> y vinculación</w:t>
      </w:r>
      <w:r w:rsidRPr="00D93732">
        <w:t xml:space="preserve"> en gestión del riesgo agro-climático y resiliencia</w:t>
      </w:r>
      <w:r w:rsidR="002B5F34" w:rsidRPr="00D93732">
        <w:t xml:space="preserve"> en el contexto de los países del Sistema de Integración Centroamericana</w:t>
      </w:r>
      <w:r w:rsidRPr="00D93732">
        <w:t>.</w:t>
      </w:r>
    </w:p>
    <w:p w:rsidR="00FA47E8" w:rsidRPr="00D93732" w:rsidRDefault="00FA47E8" w:rsidP="003A07CF">
      <w:pPr>
        <w:spacing w:after="0" w:line="240" w:lineRule="auto"/>
        <w:jc w:val="both"/>
      </w:pPr>
    </w:p>
    <w:p w:rsidR="00FA47E8" w:rsidRPr="00D93732" w:rsidRDefault="00FA47E8" w:rsidP="003A07CF">
      <w:pPr>
        <w:spacing w:after="0" w:line="240" w:lineRule="auto"/>
        <w:jc w:val="both"/>
        <w:rPr>
          <w:b/>
        </w:rPr>
      </w:pPr>
      <w:r w:rsidRPr="00D93732">
        <w:rPr>
          <w:b/>
        </w:rPr>
        <w:t>1.3</w:t>
      </w:r>
      <w:r w:rsidRPr="00D93732">
        <w:rPr>
          <w:b/>
        </w:rPr>
        <w:tab/>
        <w:t>Público Objetivo:</w:t>
      </w:r>
    </w:p>
    <w:p w:rsidR="00AB19FB" w:rsidRPr="00D93732" w:rsidRDefault="00AB19FB" w:rsidP="003A07CF">
      <w:pPr>
        <w:spacing w:after="0" w:line="240" w:lineRule="auto"/>
        <w:jc w:val="both"/>
      </w:pPr>
    </w:p>
    <w:p w:rsidR="00AB19FB" w:rsidRDefault="00AB19FB" w:rsidP="003A07CF">
      <w:pPr>
        <w:spacing w:after="0" w:line="240" w:lineRule="auto"/>
        <w:jc w:val="both"/>
      </w:pPr>
      <w:r w:rsidRPr="00D93732">
        <w:t>Este programa está destinado a funcionarios y técnicos nacionales y sub</w:t>
      </w:r>
      <w:r w:rsidR="00726147" w:rsidRPr="00D93732">
        <w:t>-</w:t>
      </w:r>
      <w:r w:rsidRPr="00D93732">
        <w:t xml:space="preserve">nacionales de los territorios de Centroamérica y República Dominicana que buscan fortalecer sus capacidades </w:t>
      </w:r>
      <w:r w:rsidR="00726147" w:rsidRPr="00D93732">
        <w:t xml:space="preserve">e interactuar con especialistas y practicantes de la región </w:t>
      </w:r>
      <w:r w:rsidRPr="00D93732">
        <w:t>en Gestión del Riesgo Agro-climático</w:t>
      </w:r>
      <w:r w:rsidRPr="005809FA">
        <w:t>.</w:t>
      </w:r>
    </w:p>
    <w:p w:rsidR="00AB19FB" w:rsidRDefault="00AB19FB" w:rsidP="003A07CF">
      <w:pPr>
        <w:spacing w:after="0" w:line="240" w:lineRule="auto"/>
        <w:jc w:val="both"/>
      </w:pPr>
    </w:p>
    <w:p w:rsidR="00AB19FB" w:rsidRDefault="00AB19FB" w:rsidP="003A07CF">
      <w:pPr>
        <w:spacing w:after="0" w:line="240" w:lineRule="auto"/>
        <w:jc w:val="both"/>
      </w:pPr>
      <w:r>
        <w:t>Las instituciones de referencia a nivel regional son:</w:t>
      </w:r>
      <w:r w:rsidR="00726147">
        <w:t xml:space="preserve"> </w:t>
      </w:r>
    </w:p>
    <w:p w:rsidR="00726147" w:rsidRDefault="00726147" w:rsidP="003A07CF">
      <w:pPr>
        <w:spacing w:after="0" w:line="240" w:lineRule="auto"/>
        <w:jc w:val="both"/>
        <w:rPr>
          <w:lang w:val="es-ES"/>
        </w:rPr>
      </w:pPr>
    </w:p>
    <w:p w:rsidR="00726147" w:rsidRPr="002B5F34" w:rsidRDefault="008638DC" w:rsidP="008638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8638DC">
        <w:rPr>
          <w:lang w:val="es-ES"/>
        </w:rPr>
        <w:t xml:space="preserve">Secretaría Ejecutiva de la </w:t>
      </w:r>
      <w:r>
        <w:rPr>
          <w:lang w:val="es-ES"/>
        </w:rPr>
        <w:t>C</w:t>
      </w:r>
      <w:r w:rsidR="00726147" w:rsidRPr="002B5F34">
        <w:rPr>
          <w:lang w:val="es-ES"/>
        </w:rPr>
        <w:t xml:space="preserve">omisión Centroamericana de Ambiente y Desarrollo (CCAD); </w:t>
      </w:r>
    </w:p>
    <w:p w:rsidR="00726147" w:rsidRPr="002B5F34" w:rsidRDefault="008638DC" w:rsidP="008638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8638DC">
        <w:rPr>
          <w:lang w:val="es-ES"/>
        </w:rPr>
        <w:t>Secretaría Ejecutiva de</w:t>
      </w:r>
      <w:r>
        <w:rPr>
          <w:lang w:val="es-ES"/>
        </w:rPr>
        <w:t xml:space="preserve">l Comité </w:t>
      </w:r>
      <w:r w:rsidR="00726147" w:rsidRPr="002B5F34">
        <w:rPr>
          <w:lang w:val="es-ES"/>
        </w:rPr>
        <w:t xml:space="preserve">Regional de Recursos Hidráulicos (CRRH); </w:t>
      </w:r>
    </w:p>
    <w:p w:rsidR="00726147" w:rsidRPr="002B5F34" w:rsidRDefault="00726147" w:rsidP="003A07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2B5F34">
        <w:rPr>
          <w:lang w:val="es-ES"/>
        </w:rPr>
        <w:t xml:space="preserve">Centro de Coordinación para la Prevención de Desastres Naturales en América Central (CEPREDENAC); </w:t>
      </w:r>
      <w:r w:rsidR="00C12899" w:rsidRPr="002B5F34">
        <w:rPr>
          <w:lang w:val="es-ES"/>
        </w:rPr>
        <w:t>y,</w:t>
      </w:r>
    </w:p>
    <w:p w:rsidR="00726147" w:rsidRPr="002B5F34" w:rsidRDefault="00726147" w:rsidP="003A07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2B5F34">
        <w:rPr>
          <w:lang w:val="es-ES"/>
        </w:rPr>
        <w:lastRenderedPageBreak/>
        <w:t>Programa Regional de Seguridad Alimentaria y Nutricional (PRESANCA)</w:t>
      </w:r>
      <w:r w:rsidR="00C12899" w:rsidRPr="002B5F34">
        <w:rPr>
          <w:lang w:val="es-ES"/>
        </w:rPr>
        <w:t>.</w:t>
      </w:r>
    </w:p>
    <w:p w:rsidR="00726147" w:rsidRDefault="00726147" w:rsidP="003A07CF">
      <w:pPr>
        <w:spacing w:after="0" w:line="240" w:lineRule="auto"/>
        <w:jc w:val="both"/>
        <w:rPr>
          <w:lang w:val="es-ES"/>
        </w:rPr>
      </w:pPr>
    </w:p>
    <w:p w:rsidR="00726147" w:rsidRPr="002B5F34" w:rsidRDefault="00726147" w:rsidP="003A07CF">
      <w:pPr>
        <w:spacing w:after="0" w:line="240" w:lineRule="auto"/>
        <w:ind w:left="708"/>
        <w:jc w:val="both"/>
        <w:rPr>
          <w:i/>
          <w:lang w:val="es-ES"/>
        </w:rPr>
      </w:pPr>
      <w:r w:rsidRPr="002B5F34">
        <w:rPr>
          <w:i/>
          <w:lang w:val="es-ES"/>
        </w:rPr>
        <w:t xml:space="preserve">Con </w:t>
      </w:r>
      <w:r w:rsidR="00380E4D">
        <w:rPr>
          <w:i/>
          <w:lang w:val="es-ES"/>
        </w:rPr>
        <w:t xml:space="preserve">el </w:t>
      </w:r>
      <w:r w:rsidRPr="002B5F34">
        <w:rPr>
          <w:i/>
          <w:lang w:val="es-ES"/>
        </w:rPr>
        <w:t>apoyo de:</w:t>
      </w:r>
    </w:p>
    <w:p w:rsidR="00726147" w:rsidRPr="002B5F34" w:rsidRDefault="00C12899" w:rsidP="003A07CF">
      <w:pPr>
        <w:spacing w:after="0" w:line="240" w:lineRule="auto"/>
        <w:ind w:left="708"/>
        <w:jc w:val="both"/>
        <w:rPr>
          <w:i/>
          <w:lang w:val="es-ES"/>
        </w:rPr>
      </w:pPr>
      <w:r w:rsidRPr="002B5F34">
        <w:rPr>
          <w:i/>
          <w:lang w:val="es-ES"/>
        </w:rPr>
        <w:t>Centro Agronómico Tropical de Investigación y Enseñanza (</w:t>
      </w:r>
      <w:r w:rsidR="00726147" w:rsidRPr="002B5F34">
        <w:rPr>
          <w:i/>
          <w:lang w:val="es-ES"/>
        </w:rPr>
        <w:t>CATIE</w:t>
      </w:r>
      <w:r w:rsidRPr="002B5F34">
        <w:rPr>
          <w:i/>
          <w:lang w:val="es-ES"/>
        </w:rPr>
        <w:t>);</w:t>
      </w:r>
    </w:p>
    <w:p w:rsidR="00726147" w:rsidRPr="002B5F34" w:rsidRDefault="00C12899" w:rsidP="003A07CF">
      <w:pPr>
        <w:spacing w:after="0" w:line="240" w:lineRule="auto"/>
        <w:ind w:left="708"/>
        <w:jc w:val="both"/>
        <w:rPr>
          <w:i/>
        </w:rPr>
      </w:pPr>
      <w:r w:rsidRPr="002B5F34">
        <w:rPr>
          <w:i/>
        </w:rPr>
        <w:t>Comisión Económica para América Latina y el Caribe (</w:t>
      </w:r>
      <w:r w:rsidR="00726147" w:rsidRPr="002B5F34">
        <w:rPr>
          <w:i/>
        </w:rPr>
        <w:t>CEPAL</w:t>
      </w:r>
      <w:r w:rsidRPr="002B5F34">
        <w:rPr>
          <w:i/>
        </w:rPr>
        <w:t>);</w:t>
      </w:r>
    </w:p>
    <w:p w:rsidR="00726147" w:rsidRPr="002B5F34" w:rsidRDefault="00C12899" w:rsidP="003A07CF">
      <w:pPr>
        <w:spacing w:after="0" w:line="240" w:lineRule="auto"/>
        <w:ind w:left="708"/>
        <w:jc w:val="both"/>
        <w:rPr>
          <w:i/>
        </w:rPr>
      </w:pPr>
      <w:r w:rsidRPr="002B5F34">
        <w:rPr>
          <w:i/>
        </w:rPr>
        <w:t>Programa de Cambio Climático, Agricultura y Seguridad Alimentaria de la Alianza Global de Investigación Agrícola (CGIAR-</w:t>
      </w:r>
      <w:r w:rsidR="00726147" w:rsidRPr="002B5F34">
        <w:rPr>
          <w:i/>
        </w:rPr>
        <w:t>CCAFS</w:t>
      </w:r>
      <w:r w:rsidRPr="002B5F34">
        <w:rPr>
          <w:i/>
        </w:rPr>
        <w:t>)</w:t>
      </w:r>
    </w:p>
    <w:p w:rsidR="00C12899" w:rsidRPr="002B5F34" w:rsidRDefault="00C12899" w:rsidP="003A07CF">
      <w:pPr>
        <w:spacing w:after="0" w:line="240" w:lineRule="auto"/>
        <w:ind w:left="708"/>
        <w:jc w:val="both"/>
        <w:rPr>
          <w:i/>
        </w:rPr>
      </w:pPr>
      <w:r w:rsidRPr="002B5F34">
        <w:rPr>
          <w:i/>
        </w:rPr>
        <w:t>Centro Internacional de Agricultura Tropical (CIAT)</w:t>
      </w:r>
    </w:p>
    <w:p w:rsidR="00726147" w:rsidRPr="002B5F34" w:rsidRDefault="00C12899" w:rsidP="003A07CF">
      <w:pPr>
        <w:spacing w:after="0" w:line="240" w:lineRule="auto"/>
        <w:ind w:left="708"/>
        <w:jc w:val="both"/>
        <w:rPr>
          <w:i/>
        </w:rPr>
      </w:pPr>
      <w:r w:rsidRPr="002B5F34">
        <w:rPr>
          <w:i/>
        </w:rPr>
        <w:t>Organización de Naciones Unidas para la Alimentación y la Agricultura (</w:t>
      </w:r>
      <w:r w:rsidR="00726147" w:rsidRPr="002B5F34">
        <w:rPr>
          <w:i/>
        </w:rPr>
        <w:t>FAO</w:t>
      </w:r>
      <w:r w:rsidRPr="002B5F34">
        <w:rPr>
          <w:i/>
        </w:rPr>
        <w:t>)</w:t>
      </w:r>
    </w:p>
    <w:p w:rsidR="00AB19FB" w:rsidRDefault="00442365" w:rsidP="00442365">
      <w:pPr>
        <w:spacing w:after="0" w:line="240" w:lineRule="auto"/>
        <w:ind w:firstLine="708"/>
        <w:jc w:val="both"/>
        <w:rPr>
          <w:i/>
        </w:rPr>
      </w:pPr>
      <w:r w:rsidRPr="00442365">
        <w:rPr>
          <w:i/>
        </w:rPr>
        <w:t>Instituto Interamericano de Cooperación para la Agricultura (IICA)</w:t>
      </w:r>
    </w:p>
    <w:p w:rsidR="00442365" w:rsidRDefault="00442365" w:rsidP="00442365">
      <w:pPr>
        <w:spacing w:after="0" w:line="240" w:lineRule="auto"/>
        <w:ind w:firstLine="708"/>
        <w:jc w:val="both"/>
      </w:pPr>
    </w:p>
    <w:p w:rsidR="00726147" w:rsidRDefault="00AB19FB" w:rsidP="003A07CF">
      <w:pPr>
        <w:spacing w:after="0" w:line="240" w:lineRule="auto"/>
        <w:jc w:val="both"/>
      </w:pPr>
      <w:r>
        <w:t>Las instituciones de referencia a nivel nacional son:</w:t>
      </w:r>
    </w:p>
    <w:p w:rsidR="002B5F34" w:rsidRDefault="002B5F34" w:rsidP="003A07CF">
      <w:pPr>
        <w:spacing w:after="0" w:line="240" w:lineRule="auto"/>
        <w:jc w:val="both"/>
      </w:pPr>
    </w:p>
    <w:p w:rsidR="00726147" w:rsidRDefault="00726147" w:rsidP="004423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</w:t>
      </w:r>
      <w:r w:rsidR="00442365">
        <w:t xml:space="preserve">inisterios de Agricultura </w:t>
      </w:r>
      <w:r w:rsidR="00442365" w:rsidRPr="00442365">
        <w:t>y otras instituciones del sector público agropecuario;</w:t>
      </w:r>
    </w:p>
    <w:p w:rsidR="00726147" w:rsidRDefault="0016774D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Ministerios de Ambiente;</w:t>
      </w:r>
    </w:p>
    <w:p w:rsidR="000F5E01" w:rsidRDefault="000F5E01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Ministerios de Desarrollo;</w:t>
      </w:r>
    </w:p>
    <w:p w:rsidR="000F5E01" w:rsidRDefault="000F5E01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Ministerios de Economía;</w:t>
      </w:r>
    </w:p>
    <w:p w:rsidR="00726147" w:rsidRDefault="00AB19FB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Servicios Meteorológicos</w:t>
      </w:r>
      <w:r w:rsidR="0016774D">
        <w:t>;</w:t>
      </w:r>
      <w:r w:rsidR="00FA47E8">
        <w:t xml:space="preserve"> </w:t>
      </w:r>
    </w:p>
    <w:p w:rsidR="00FA47E8" w:rsidRDefault="00FA47E8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4461F4">
        <w:t>Protección Civil</w:t>
      </w:r>
      <w:r w:rsidR="0016774D">
        <w:t>;</w:t>
      </w:r>
    </w:p>
    <w:p w:rsidR="0016774D" w:rsidRDefault="0016774D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Universidades y Centros de Investigación; y,</w:t>
      </w:r>
    </w:p>
    <w:p w:rsidR="0016774D" w:rsidRDefault="0016774D" w:rsidP="003A07C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Bancas de Desarrollo.</w:t>
      </w:r>
    </w:p>
    <w:p w:rsidR="0016774D" w:rsidRDefault="0016774D" w:rsidP="003A07CF">
      <w:pPr>
        <w:spacing w:after="0" w:line="240" w:lineRule="auto"/>
        <w:jc w:val="both"/>
      </w:pPr>
    </w:p>
    <w:p w:rsidR="0016774D" w:rsidRDefault="0016774D" w:rsidP="003A07CF">
      <w:pPr>
        <w:spacing w:after="0" w:line="240" w:lineRule="auto"/>
        <w:jc w:val="both"/>
      </w:pPr>
      <w:r>
        <w:t>Las instituciones de referencia a nivel sub-nacional son:</w:t>
      </w:r>
    </w:p>
    <w:p w:rsidR="002B5F34" w:rsidRDefault="002B5F34" w:rsidP="003A07CF">
      <w:pPr>
        <w:spacing w:after="0" w:line="240" w:lineRule="auto"/>
        <w:jc w:val="both"/>
      </w:pPr>
    </w:p>
    <w:p w:rsidR="0016774D" w:rsidRDefault="0016774D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Autoridades municipales - Mancomunidades</w:t>
      </w:r>
    </w:p>
    <w:p w:rsidR="0016774D" w:rsidRDefault="0016774D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Agencias de extensión sub-nacionales</w:t>
      </w:r>
    </w:p>
    <w:p w:rsidR="002B5F34" w:rsidRDefault="002B5F34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Comisiones de cuenca</w:t>
      </w:r>
    </w:p>
    <w:p w:rsidR="002B5F34" w:rsidRDefault="002B5F34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Asociaciones de Productores</w:t>
      </w:r>
    </w:p>
    <w:p w:rsidR="000F5E01" w:rsidRDefault="000F5E01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Miembros de cadenas agroalimentarias</w:t>
      </w:r>
    </w:p>
    <w:p w:rsidR="0016774D" w:rsidRDefault="0016774D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Organizaciones de la Sociedad Civil</w:t>
      </w:r>
    </w:p>
    <w:p w:rsidR="0016774D" w:rsidRDefault="00FC4FF3" w:rsidP="003A07C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Instituciones Financieras</w:t>
      </w:r>
    </w:p>
    <w:p w:rsidR="00FC4FF3" w:rsidRPr="00FC4FF3" w:rsidRDefault="00FC4FF3" w:rsidP="00306D81">
      <w:pPr>
        <w:pStyle w:val="ListParagraph"/>
        <w:numPr>
          <w:ilvl w:val="0"/>
          <w:numId w:val="5"/>
        </w:numPr>
      </w:pPr>
      <w:r w:rsidRPr="00FC4FF3">
        <w:t xml:space="preserve">Instancias constituidas en el marco de la </w:t>
      </w:r>
      <w:r w:rsidR="00306D81" w:rsidRPr="00306D81">
        <w:t xml:space="preserve">Estrategia Centroamericana de Desarrollo Rural Territorial </w:t>
      </w:r>
      <w:r w:rsidR="00306D81">
        <w:t>(</w:t>
      </w:r>
      <w:r w:rsidRPr="00FC4FF3">
        <w:t>ECADERT</w:t>
      </w:r>
      <w:r w:rsidR="00306D81">
        <w:t>)</w:t>
      </w:r>
      <w:r w:rsidRPr="00FC4FF3">
        <w:t xml:space="preserve"> </w:t>
      </w:r>
    </w:p>
    <w:p w:rsidR="00FC4FF3" w:rsidRDefault="00FC4FF3" w:rsidP="00FC4FF3">
      <w:pPr>
        <w:pStyle w:val="ListParagraph"/>
        <w:spacing w:after="0" w:line="240" w:lineRule="auto"/>
        <w:jc w:val="both"/>
      </w:pPr>
    </w:p>
    <w:p w:rsidR="0016774D" w:rsidRDefault="0016774D" w:rsidP="003A07CF">
      <w:pPr>
        <w:spacing w:after="0" w:line="240" w:lineRule="auto"/>
        <w:jc w:val="both"/>
      </w:pPr>
    </w:p>
    <w:p w:rsidR="00FA47E8" w:rsidRPr="008C7409" w:rsidRDefault="00FA47E8" w:rsidP="003A07CF">
      <w:pPr>
        <w:spacing w:after="0" w:line="240" w:lineRule="auto"/>
        <w:jc w:val="both"/>
        <w:rPr>
          <w:b/>
        </w:rPr>
      </w:pPr>
      <w:r>
        <w:rPr>
          <w:b/>
        </w:rPr>
        <w:t>1.4</w:t>
      </w:r>
      <w:r>
        <w:rPr>
          <w:b/>
        </w:rPr>
        <w:tab/>
      </w:r>
      <w:r w:rsidRPr="008C7409">
        <w:rPr>
          <w:b/>
        </w:rPr>
        <w:t>Metodología utilizada:</w:t>
      </w:r>
    </w:p>
    <w:p w:rsidR="00E1055C" w:rsidRPr="00D93732" w:rsidRDefault="00E1055C" w:rsidP="003A07CF">
      <w:pPr>
        <w:spacing w:after="0" w:line="240" w:lineRule="auto"/>
        <w:jc w:val="both"/>
        <w:rPr>
          <w:lang w:val="es-ES"/>
        </w:rPr>
      </w:pPr>
      <w:r w:rsidRPr="00D93732">
        <w:rPr>
          <w:lang w:val="es-ES"/>
        </w:rPr>
        <w:t>El programa de f</w:t>
      </w:r>
      <w:r w:rsidR="00261832" w:rsidRPr="00D93732">
        <w:rPr>
          <w:lang w:val="es-ES"/>
        </w:rPr>
        <w:t>ormación consta de dos fases</w:t>
      </w:r>
      <w:r w:rsidRPr="00D93732">
        <w:rPr>
          <w:lang w:val="es-ES"/>
        </w:rPr>
        <w:t>:</w:t>
      </w:r>
    </w:p>
    <w:p w:rsidR="00E1055C" w:rsidRPr="00D93732" w:rsidRDefault="00E1055C" w:rsidP="003A07CF">
      <w:pPr>
        <w:spacing w:after="0" w:line="240" w:lineRule="auto"/>
        <w:jc w:val="both"/>
        <w:rPr>
          <w:lang w:val="es-ES"/>
        </w:rPr>
      </w:pPr>
    </w:p>
    <w:p w:rsidR="00E1055C" w:rsidRPr="00D93732" w:rsidRDefault="00E1055C" w:rsidP="003A07CF">
      <w:pPr>
        <w:spacing w:after="0" w:line="240" w:lineRule="auto"/>
        <w:jc w:val="both"/>
        <w:rPr>
          <w:lang w:val="es-ES"/>
        </w:rPr>
      </w:pPr>
      <w:r w:rsidRPr="00D93732">
        <w:rPr>
          <w:lang w:val="es-ES"/>
        </w:rPr>
        <w:t xml:space="preserve">Fase I) Se capacitan funcionarios y técnicos nacionales mediante un formato semipresencial; el seguimiento será de dos meses a través de la plataforma virtual y dos semanas de talleres presenciales (una semana al inicio y una al final de la fase nacional). </w:t>
      </w:r>
    </w:p>
    <w:p w:rsidR="00E1055C" w:rsidRPr="00D93732" w:rsidRDefault="00E1055C" w:rsidP="003A07CF">
      <w:pPr>
        <w:spacing w:after="0" w:line="240" w:lineRule="auto"/>
        <w:jc w:val="both"/>
        <w:rPr>
          <w:lang w:val="es-ES"/>
        </w:rPr>
      </w:pPr>
    </w:p>
    <w:p w:rsidR="00E1055C" w:rsidRPr="00E1055C" w:rsidRDefault="00E1055C" w:rsidP="003A07CF">
      <w:pPr>
        <w:spacing w:after="0" w:line="240" w:lineRule="auto"/>
        <w:jc w:val="both"/>
        <w:rPr>
          <w:lang w:val="es-ES"/>
        </w:rPr>
      </w:pPr>
      <w:r w:rsidRPr="00D93732">
        <w:rPr>
          <w:lang w:val="es-ES"/>
        </w:rPr>
        <w:t>Fase II) Se acompaña a los funcionarios y técnicos capacitados para realizar pilotos demostrativos</w:t>
      </w:r>
      <w:r w:rsidR="00930F61" w:rsidRPr="00D93732">
        <w:rPr>
          <w:lang w:val="es-ES"/>
        </w:rPr>
        <w:t xml:space="preserve"> </w:t>
      </w:r>
      <w:r w:rsidRPr="00D93732">
        <w:rPr>
          <w:lang w:val="es-ES"/>
        </w:rPr>
        <w:t xml:space="preserve">en territorios </w:t>
      </w:r>
      <w:r w:rsidR="00930F61" w:rsidRPr="00D93732">
        <w:rPr>
          <w:lang w:val="es-ES"/>
        </w:rPr>
        <w:t>prioritarios de sus respectivos</w:t>
      </w:r>
      <w:r w:rsidR="00C6143E" w:rsidRPr="00D93732">
        <w:rPr>
          <w:lang w:val="es-ES"/>
        </w:rPr>
        <w:t xml:space="preserve"> países</w:t>
      </w:r>
      <w:r w:rsidR="00FC4FF3" w:rsidRPr="00D93732">
        <w:rPr>
          <w:lang w:val="es-ES"/>
        </w:rPr>
        <w:t xml:space="preserve"> teniendo en consideración los territorios establecidos en el marco de la ejecución de la </w:t>
      </w:r>
      <w:r w:rsidR="00306D81" w:rsidRPr="00D93732">
        <w:rPr>
          <w:lang w:val="es-ES"/>
        </w:rPr>
        <w:t>Estrategia Centroamericana de Desarrollo Rural</w:t>
      </w:r>
      <w:r w:rsidR="00306D81" w:rsidRPr="00306D81">
        <w:rPr>
          <w:lang w:val="es-ES"/>
        </w:rPr>
        <w:t xml:space="preserve"> </w:t>
      </w:r>
      <w:r w:rsidR="00306D81" w:rsidRPr="00306D81">
        <w:rPr>
          <w:lang w:val="es-ES"/>
        </w:rPr>
        <w:lastRenderedPageBreak/>
        <w:t>Territorial</w:t>
      </w:r>
      <w:r w:rsidR="00306D81">
        <w:rPr>
          <w:lang w:val="es-ES"/>
        </w:rPr>
        <w:t xml:space="preserve"> (</w:t>
      </w:r>
      <w:r w:rsidR="00FC4FF3" w:rsidRPr="00FC4FF3">
        <w:rPr>
          <w:lang w:val="es-ES"/>
        </w:rPr>
        <w:t>ECADERT</w:t>
      </w:r>
      <w:r w:rsidR="00306D81">
        <w:rPr>
          <w:lang w:val="es-ES"/>
        </w:rPr>
        <w:t>)</w:t>
      </w:r>
      <w:r w:rsidR="00C6143E" w:rsidRPr="00FC4FF3">
        <w:rPr>
          <w:lang w:val="es-ES"/>
        </w:rPr>
        <w:t>; los</w:t>
      </w:r>
      <w:r w:rsidR="00C6143E">
        <w:rPr>
          <w:lang w:val="es-ES"/>
        </w:rPr>
        <w:t xml:space="preserve"> participantes podrán decidir de implementar los pilotos en grupo para asegurar una implementación más robusta</w:t>
      </w:r>
      <w:r w:rsidR="00930F61">
        <w:rPr>
          <w:lang w:val="es-ES"/>
        </w:rPr>
        <w:t>. Los pilotos son</w:t>
      </w:r>
      <w:r w:rsidRPr="00E1055C">
        <w:rPr>
          <w:lang w:val="es-ES"/>
        </w:rPr>
        <w:t xml:space="preserve"> diseñados como parte de</w:t>
      </w:r>
      <w:r w:rsidR="00930F61">
        <w:rPr>
          <w:lang w:val="es-ES"/>
        </w:rPr>
        <w:t xml:space="preserve"> la Fase I del programa. Pa</w:t>
      </w:r>
      <w:r w:rsidR="00C6143E">
        <w:rPr>
          <w:lang w:val="es-ES"/>
        </w:rPr>
        <w:t>ra su sostenibilidad, dos</w:t>
      </w:r>
      <w:r w:rsidR="00930F61">
        <w:rPr>
          <w:lang w:val="es-ES"/>
        </w:rPr>
        <w:t xml:space="preserve"> condiciones </w:t>
      </w:r>
      <w:r w:rsidR="00C6143E">
        <w:rPr>
          <w:lang w:val="es-ES"/>
        </w:rPr>
        <w:t>fundamentales serán</w:t>
      </w:r>
      <w:r w:rsidR="00930F61">
        <w:rPr>
          <w:lang w:val="es-ES"/>
        </w:rPr>
        <w:t xml:space="preserve"> que estos se vinculen con una política, programa, plan o proyecto de Estado </w:t>
      </w:r>
      <w:r w:rsidRPr="00E1055C">
        <w:rPr>
          <w:lang w:val="es-ES"/>
        </w:rPr>
        <w:t xml:space="preserve">y que implementen al menos uno de los enfoques comprendidos en el programa de formación. El piloto tendrán una duración aproximada de cinco meses pero la implementación de la práctica y las herramientas transmitidas continuará </w:t>
      </w:r>
      <w:r w:rsidR="00930F61">
        <w:rPr>
          <w:lang w:val="es-ES"/>
        </w:rPr>
        <w:t xml:space="preserve">siendo apoyada </w:t>
      </w:r>
      <w:r w:rsidRPr="00E1055C">
        <w:rPr>
          <w:lang w:val="es-ES"/>
        </w:rPr>
        <w:t>en el mar</w:t>
      </w:r>
      <w:r w:rsidR="00930F61">
        <w:rPr>
          <w:lang w:val="es-ES"/>
        </w:rPr>
        <w:t xml:space="preserve">co del instrumento de política pública </w:t>
      </w:r>
      <w:r w:rsidR="0044189C">
        <w:rPr>
          <w:lang w:val="es-ES"/>
        </w:rPr>
        <w:t xml:space="preserve">o proyecto territorial </w:t>
      </w:r>
      <w:r w:rsidR="00930F61">
        <w:rPr>
          <w:lang w:val="es-ES"/>
        </w:rPr>
        <w:t>al cual están ligados</w:t>
      </w:r>
      <w:r w:rsidRPr="00E1055C">
        <w:rPr>
          <w:lang w:val="es-ES"/>
        </w:rPr>
        <w:t>.</w:t>
      </w:r>
    </w:p>
    <w:p w:rsidR="00E1055C" w:rsidRDefault="00E1055C" w:rsidP="003A07CF">
      <w:pPr>
        <w:spacing w:after="0" w:line="240" w:lineRule="auto"/>
        <w:jc w:val="both"/>
        <w:rPr>
          <w:b/>
        </w:rPr>
      </w:pPr>
    </w:p>
    <w:p w:rsidR="00FA47E8" w:rsidRPr="00684D7A" w:rsidRDefault="00FA47E8" w:rsidP="003A07CF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="002B5F34">
        <w:rPr>
          <w:b/>
        </w:rPr>
        <w:t>5</w:t>
      </w:r>
      <w:r>
        <w:rPr>
          <w:b/>
        </w:rPr>
        <w:tab/>
      </w:r>
      <w:r w:rsidRPr="00684D7A">
        <w:rPr>
          <w:b/>
        </w:rPr>
        <w:t>¿Por qué es importante desarrollar las capacidades?</w:t>
      </w:r>
    </w:p>
    <w:p w:rsidR="00FA47E8" w:rsidRDefault="00FA47E8" w:rsidP="003A07CF">
      <w:pPr>
        <w:spacing w:after="0" w:line="240" w:lineRule="auto"/>
        <w:jc w:val="both"/>
      </w:pPr>
      <w:r w:rsidRPr="00D93732">
        <w:t>El desarrollo de capacidades es el proceso por medio del cual las personas, las organizaciones y las sociedades obtienen, fortalecen y mantienen las competencias necesarias para establecer y alcanzar sus propios objetivos de desarrollo a lo largo del tiempo. Las capacidades pueden clasificarse en dos: funcionales y técnicas. Las capacidades funcionales son necesarias para crear y gestionar políticas, leyes, estrategias y programas. Las capacidades técnicas son las que están asociadas a áreas particulares de experticia y práctica de sectores o temas específicos tales como cambio climático y la  gestión del riesgo de desastres.</w:t>
      </w:r>
      <w:r w:rsidRPr="00D93732">
        <w:rPr>
          <w:rStyle w:val="FootnoteReference"/>
        </w:rPr>
        <w:footnoteReference w:id="1"/>
      </w:r>
      <w:r w:rsidRPr="00D93732">
        <w:t>.</w:t>
      </w:r>
    </w:p>
    <w:p w:rsidR="00FA47E8" w:rsidRDefault="00FA47E8" w:rsidP="003A07CF">
      <w:pPr>
        <w:spacing w:after="0" w:line="240" w:lineRule="auto"/>
        <w:jc w:val="both"/>
      </w:pPr>
    </w:p>
    <w:p w:rsidR="00FA47E8" w:rsidRPr="00684D7A" w:rsidRDefault="002B5F34" w:rsidP="003A07CF">
      <w:pPr>
        <w:spacing w:after="0" w:line="240" w:lineRule="auto"/>
        <w:jc w:val="both"/>
        <w:rPr>
          <w:b/>
        </w:rPr>
      </w:pPr>
      <w:r>
        <w:rPr>
          <w:b/>
        </w:rPr>
        <w:t>1.6</w:t>
      </w:r>
      <w:r w:rsidR="00FA47E8">
        <w:rPr>
          <w:b/>
        </w:rPr>
        <w:tab/>
      </w:r>
      <w:r w:rsidR="00FA47E8" w:rsidRPr="00684D7A">
        <w:rPr>
          <w:b/>
        </w:rPr>
        <w:t xml:space="preserve">¿Por qué es importante entender el </w:t>
      </w:r>
      <w:r w:rsidR="00FA47E8">
        <w:rPr>
          <w:b/>
        </w:rPr>
        <w:t>“r</w:t>
      </w:r>
      <w:r w:rsidR="00FA47E8" w:rsidRPr="00684D7A">
        <w:rPr>
          <w:b/>
        </w:rPr>
        <w:t>iesgo</w:t>
      </w:r>
      <w:r w:rsidR="00DB79B2">
        <w:rPr>
          <w:b/>
        </w:rPr>
        <w:t>”</w:t>
      </w:r>
      <w:r w:rsidR="00FA47E8" w:rsidRPr="00684D7A">
        <w:rPr>
          <w:b/>
        </w:rPr>
        <w:t>?</w:t>
      </w:r>
    </w:p>
    <w:p w:rsidR="00FA47E8" w:rsidRDefault="00FA47E8" w:rsidP="003A07CF">
      <w:pPr>
        <w:spacing w:after="0" w:line="240" w:lineRule="auto"/>
        <w:jc w:val="both"/>
      </w:pPr>
      <w:r w:rsidRPr="00D93732">
        <w:t xml:space="preserve">El grado de conocimiento del riesgo depende en gran medida de la cantidad y calidad de la información disponible y de las distintas maneras en que las personas perciben el riesgo. La gente es más vulnerable cuando no tiene conciencia de las amenazas que ponen en peligro su vida y sus </w:t>
      </w:r>
      <w:r w:rsidR="00897F78" w:rsidRPr="00D93732">
        <w:t>activos</w:t>
      </w:r>
      <w:r w:rsidR="0016774D" w:rsidRPr="00D93732">
        <w:t xml:space="preserve"> o bien no cuentan con alternativas para reducir los probables impactos de dichas amenazas y también para responder y rehabilitarse una vez que han acontecido los eventos extremos</w:t>
      </w:r>
      <w:r w:rsidRPr="00D93732">
        <w:t>.</w:t>
      </w:r>
      <w:r>
        <w:t xml:space="preserve"> La percepción del riesgo varía según la sensibilidad de cada persona, comunidad o gobierno. Tener conocimiento de las amenazas y de</w:t>
      </w:r>
      <w:r w:rsidR="0016774D">
        <w:t xml:space="preserve"> la vulnerabilidad, </w:t>
      </w:r>
      <w:r>
        <w:t>di</w:t>
      </w:r>
      <w:r w:rsidR="0016774D">
        <w:t xml:space="preserve">sponer de información </w:t>
      </w:r>
      <w:r w:rsidR="00E715B9">
        <w:t>adecuada</w:t>
      </w:r>
      <w:r w:rsidR="0016774D">
        <w:t xml:space="preserve"> y </w:t>
      </w:r>
      <w:r w:rsidR="00E715B9">
        <w:t xml:space="preserve"> contar con </w:t>
      </w:r>
      <w:r w:rsidR="0016774D">
        <w:t xml:space="preserve">opciones para gestionar el riesgo </w:t>
      </w:r>
      <w:r>
        <w:t>puede influir en esta percepción</w:t>
      </w:r>
      <w:r>
        <w:rPr>
          <w:rStyle w:val="FootnoteReference"/>
        </w:rPr>
        <w:footnoteReference w:id="2"/>
      </w:r>
      <w:r>
        <w:t>.</w:t>
      </w:r>
    </w:p>
    <w:p w:rsidR="00FA47E8" w:rsidRDefault="00FA47E8" w:rsidP="003A07CF">
      <w:pPr>
        <w:spacing w:after="0" w:line="240" w:lineRule="auto"/>
        <w:jc w:val="both"/>
      </w:pPr>
    </w:p>
    <w:p w:rsidR="00FA47E8" w:rsidRDefault="00FA47E8" w:rsidP="003A07CF">
      <w:pPr>
        <w:spacing w:after="0" w:line="240" w:lineRule="auto"/>
        <w:jc w:val="both"/>
      </w:pPr>
      <w:r w:rsidRPr="00D93732">
        <w:t>El “riesgo” está íntimamente vinculado a los procesos de desarrollo. El desarrollo se expresa en procesos territoriales (uso, ocupación y transformación del territorio) y procesos sectoriales/productivos (la creación de bienes y servicios, aprovechamiento de recursos naturales, disposición de residuos). Estos procesos inciden directamente en la exposición a amenazas (naturales y antropogénicas) de los</w:t>
      </w:r>
      <w:r w:rsidRPr="00684D7A">
        <w:t xml:space="preserve"> diferentes elementos o componentes. También inciden en el nivel de vulnerabilidad frente a </w:t>
      </w:r>
      <w:r w:rsidR="003732D5">
        <w:t>é</w:t>
      </w:r>
      <w:r w:rsidRPr="00684D7A">
        <w:t>stas. Por lo tanto, estos procesos inciden en la generación e incremento del riesgo de desastres, y por ende en la probabilidad de que estos tengan lugar</w:t>
      </w:r>
      <w:r>
        <w:rPr>
          <w:rStyle w:val="FootnoteReference"/>
        </w:rPr>
        <w:footnoteReference w:id="3"/>
      </w:r>
      <w:r w:rsidRPr="00684D7A">
        <w:t xml:space="preserve">. </w:t>
      </w:r>
      <w:r w:rsidRPr="00684D7A">
        <w:tab/>
      </w:r>
    </w:p>
    <w:p w:rsidR="00FA47E8" w:rsidRDefault="00FA47E8" w:rsidP="003A07CF">
      <w:pPr>
        <w:spacing w:after="0" w:line="240" w:lineRule="auto"/>
        <w:jc w:val="both"/>
      </w:pPr>
    </w:p>
    <w:p w:rsidR="00FA47E8" w:rsidRPr="00D93732" w:rsidRDefault="00FA47E8" w:rsidP="003A07CF">
      <w:pPr>
        <w:spacing w:after="0" w:line="240" w:lineRule="auto"/>
        <w:jc w:val="both"/>
      </w:pPr>
      <w:r>
        <w:t>A nivel mundial el registro del número de catástrofes, asociadas a la ocurrencia de eventos de origen natural</w:t>
      </w:r>
      <w:r w:rsidR="005832D9">
        <w:t xml:space="preserve"> y socio-natural</w:t>
      </w:r>
      <w:r>
        <w:t xml:space="preserve">, que afectan negativamente a la población humana está aumentando. </w:t>
      </w:r>
      <w:r w:rsidR="005832D9">
        <w:t>E</w:t>
      </w:r>
      <w:r>
        <w:t>l número de eventos sísmicos registrados ha permanecido relativamente constante (los más devastadores en términos de víctimas mortales)</w:t>
      </w:r>
      <w:r w:rsidR="003732D5">
        <w:t>,</w:t>
      </w:r>
      <w:r>
        <w:t xml:space="preserve"> </w:t>
      </w:r>
      <w:r w:rsidR="005832D9">
        <w:t>pero en las últimas décadas hay</w:t>
      </w:r>
      <w:r>
        <w:t xml:space="preserve"> un claro incremento en el número de </w:t>
      </w:r>
      <w:r w:rsidR="005832D9">
        <w:t xml:space="preserve">eventos meteorológicos como sequías, </w:t>
      </w:r>
      <w:r>
        <w:t xml:space="preserve">tormentas e inundaciones. </w:t>
      </w:r>
      <w:r w:rsidR="005832D9" w:rsidRPr="00D93732">
        <w:t xml:space="preserve">Aunque los eventos meteorológicos tengan un registro decreciente de muertes, si tienen una </w:t>
      </w:r>
      <w:r w:rsidR="005832D9" w:rsidRPr="00D93732">
        <w:lastRenderedPageBreak/>
        <w:t>tendencia al aumento en las pérdidas económicas.</w:t>
      </w:r>
      <w:r w:rsidRPr="00D93732">
        <w:t xml:space="preserve"> El número y la intensidad de las inundaciones, sequías, deslizamientos y olas de calor pueden tener un impacto significativo en los sistemas </w:t>
      </w:r>
      <w:r w:rsidR="005832D9" w:rsidRPr="00D93732">
        <w:t xml:space="preserve">tanto rurales como </w:t>
      </w:r>
      <w:r w:rsidRPr="00D93732">
        <w:t xml:space="preserve">urbanos y en las estrategias de desarrollo de resiliencia. </w:t>
      </w:r>
      <w:r w:rsidR="005832D9" w:rsidRPr="00D93732">
        <w:t>Estos patrones reflejan ya la influencia del cambio climático que a futuro generará mayores cambios en la frecuencia e intensidad de eventos extremos meteorológicos y otros vinculados como plagas y enfermedades</w:t>
      </w:r>
      <w:r w:rsidRPr="00D93732">
        <w:t>.</w:t>
      </w:r>
    </w:p>
    <w:p w:rsidR="00FA47E8" w:rsidRDefault="00FA47E8" w:rsidP="003A07CF">
      <w:pPr>
        <w:spacing w:after="0" w:line="240" w:lineRule="auto"/>
        <w:jc w:val="both"/>
      </w:pPr>
    </w:p>
    <w:p w:rsidR="00FA47E8" w:rsidRDefault="00FA47E8" w:rsidP="003A07CF">
      <w:pPr>
        <w:spacing w:after="0" w:line="240" w:lineRule="auto"/>
        <w:jc w:val="both"/>
      </w:pPr>
      <w:r>
        <w:t>Según el Informe Especial del IPCC sobre la Gestión de Riesgos de Eventos Extremos y Desastres para Avanzar en la Adaptación al Cambio Climático, estos eventos extremos necesitan ser tomados en cuenta en los futuros planes de desarrollo y ordenamiento territorial. El aumento del impacto de los desastres seguirá dependiendo en gran medida de la actividad humana en términos de exposición y vulnerabilidad.</w:t>
      </w:r>
    </w:p>
    <w:p w:rsidR="00FA47E8" w:rsidRDefault="00FA47E8" w:rsidP="003A07CF">
      <w:pPr>
        <w:spacing w:after="0" w:line="240" w:lineRule="auto"/>
        <w:jc w:val="both"/>
      </w:pPr>
    </w:p>
    <w:p w:rsidR="00FA47E8" w:rsidRDefault="00FA47E8" w:rsidP="003A07CF">
      <w:pPr>
        <w:spacing w:after="0" w:line="240" w:lineRule="auto"/>
        <w:jc w:val="both"/>
      </w:pPr>
      <w:r>
        <w:t xml:space="preserve">Este programa tiene por objetivo fundamental poder profundizar en estas temáticas y brindar un panorama actual de la Gestión del </w:t>
      </w:r>
      <w:r w:rsidR="00DB79B2">
        <w:t>Riesgo Agroclimático</w:t>
      </w:r>
      <w:r>
        <w:t xml:space="preserve"> en Centroamérica y República Dominicana.</w:t>
      </w:r>
    </w:p>
    <w:p w:rsidR="001176C7" w:rsidRDefault="001176C7" w:rsidP="003A07CF">
      <w:pPr>
        <w:spacing w:after="0" w:line="240" w:lineRule="auto"/>
        <w:jc w:val="both"/>
      </w:pPr>
    </w:p>
    <w:p w:rsidR="00C37F0B" w:rsidRPr="002B5F34" w:rsidRDefault="002B5F34" w:rsidP="003A07CF">
      <w:pPr>
        <w:spacing w:after="0" w:line="240" w:lineRule="auto"/>
        <w:jc w:val="both"/>
        <w:rPr>
          <w:b/>
        </w:rPr>
      </w:pPr>
      <w:r w:rsidRPr="002B5F34">
        <w:rPr>
          <w:b/>
        </w:rPr>
        <w:t>1.7 Contenido del Programa de Formación</w:t>
      </w:r>
    </w:p>
    <w:p w:rsidR="002B5F34" w:rsidRDefault="002B5F34" w:rsidP="003A07CF">
      <w:pPr>
        <w:spacing w:after="0" w:line="240" w:lineRule="auto"/>
        <w:jc w:val="both"/>
      </w:pPr>
      <w:r>
        <w:t>El programa integra tres capítulos</w:t>
      </w:r>
      <w:r w:rsidR="00DB79B2">
        <w:t>, especializados en el contexto y necesidades de los países del Sistema de Integración Centroamericana</w:t>
      </w:r>
      <w:r>
        <w:t>:</w:t>
      </w:r>
    </w:p>
    <w:p w:rsidR="005C3263" w:rsidRDefault="005C3263" w:rsidP="003A07CF">
      <w:pPr>
        <w:spacing w:after="0" w:line="240" w:lineRule="auto"/>
        <w:jc w:val="both"/>
      </w:pPr>
    </w:p>
    <w:p w:rsidR="002B5F34" w:rsidRDefault="00A22462" w:rsidP="005C3263">
      <w:pPr>
        <w:spacing w:after="0" w:line="240" w:lineRule="auto"/>
        <w:ind w:left="708"/>
        <w:jc w:val="both"/>
      </w:pPr>
      <w:r>
        <w:t>Módulo</w:t>
      </w:r>
      <w:r w:rsidR="002B5F34">
        <w:t xml:space="preserve"> I: Marco Conceptual para la Gestión del Riesgo</w:t>
      </w:r>
    </w:p>
    <w:p w:rsidR="002B5F34" w:rsidRDefault="00A22462" w:rsidP="005C3263">
      <w:pPr>
        <w:spacing w:after="0" w:line="240" w:lineRule="auto"/>
        <w:ind w:left="708"/>
        <w:jc w:val="both"/>
      </w:pPr>
      <w:r>
        <w:t>Módulo</w:t>
      </w:r>
      <w:r w:rsidR="0030293E">
        <w:t xml:space="preserve"> </w:t>
      </w:r>
      <w:r w:rsidR="002B5F34">
        <w:t xml:space="preserve">II: </w:t>
      </w:r>
      <w:r w:rsidR="002B5F34" w:rsidRPr="002B5F34">
        <w:t>Los riesgos</w:t>
      </w:r>
      <w:r>
        <w:t xml:space="preserve"> y el cambio climático</w:t>
      </w:r>
      <w:r w:rsidR="002B5F34" w:rsidRPr="002B5F34">
        <w:t xml:space="preserve"> en el sector agropecuario y la Seguridad Alimentaria y Nutricional</w:t>
      </w:r>
    </w:p>
    <w:p w:rsidR="002B5F34" w:rsidRDefault="00A22462" w:rsidP="005C3263">
      <w:pPr>
        <w:spacing w:after="0" w:line="240" w:lineRule="auto"/>
        <w:ind w:left="708"/>
        <w:jc w:val="both"/>
      </w:pPr>
      <w:r>
        <w:t xml:space="preserve">Módulo III: </w:t>
      </w:r>
      <w:r w:rsidRPr="00A22462">
        <w:t>Los cuatro pilares para la gestión del riesgo agro-climático en contribución a la Seguridad Alimentaria y Nutricional</w:t>
      </w:r>
    </w:p>
    <w:p w:rsidR="005C3263" w:rsidRDefault="005C3263" w:rsidP="003A07CF">
      <w:pPr>
        <w:spacing w:after="0" w:line="240" w:lineRule="auto"/>
        <w:jc w:val="both"/>
      </w:pPr>
    </w:p>
    <w:p w:rsidR="002B5F34" w:rsidRDefault="002B5F34" w:rsidP="003A07CF">
      <w:pPr>
        <w:spacing w:after="0" w:line="240" w:lineRule="auto"/>
        <w:jc w:val="both"/>
      </w:pPr>
      <w:r>
        <w:t>El contenido de cada capítulo se detalla a continuación:</w:t>
      </w:r>
    </w:p>
    <w:p w:rsidR="005C3263" w:rsidRDefault="005C3263" w:rsidP="003A07CF">
      <w:pPr>
        <w:spacing w:after="0" w:line="240" w:lineRule="auto"/>
        <w:jc w:val="both"/>
      </w:pPr>
    </w:p>
    <w:p w:rsidR="005C3263" w:rsidRDefault="005C3263" w:rsidP="003A07CF">
      <w:pPr>
        <w:spacing w:after="0" w:line="240" w:lineRule="auto"/>
        <w:jc w:val="both"/>
      </w:pPr>
    </w:p>
    <w:p w:rsidR="005C3263" w:rsidRDefault="005C3263" w:rsidP="003A07CF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B5F34" w:rsidTr="002B5F34">
        <w:tc>
          <w:tcPr>
            <w:tcW w:w="9054" w:type="dxa"/>
          </w:tcPr>
          <w:p w:rsidR="00F623E6" w:rsidRPr="005B086F" w:rsidRDefault="005C3263" w:rsidP="00F623E6">
            <w:pPr>
              <w:jc w:val="both"/>
              <w:rPr>
                <w:b/>
                <w:color w:val="17365D" w:themeColor="text2" w:themeShade="BF"/>
                <w:sz w:val="24"/>
              </w:rPr>
            </w:pPr>
            <w:r>
              <w:rPr>
                <w:b/>
                <w:color w:val="17365D" w:themeColor="text2" w:themeShade="BF"/>
                <w:sz w:val="24"/>
              </w:rPr>
              <w:t>Módulo 1</w:t>
            </w:r>
            <w:r w:rsidR="00F623E6" w:rsidRPr="005B086F">
              <w:rPr>
                <w:b/>
                <w:color w:val="17365D" w:themeColor="text2" w:themeShade="BF"/>
                <w:sz w:val="24"/>
              </w:rPr>
              <w:t xml:space="preserve">. </w:t>
            </w:r>
            <w:r w:rsidR="00F623E6">
              <w:rPr>
                <w:b/>
                <w:color w:val="17365D" w:themeColor="text2" w:themeShade="BF"/>
                <w:sz w:val="24"/>
              </w:rPr>
              <w:t>Marco conceptual para la Gestión del Riesgo</w:t>
            </w:r>
          </w:p>
          <w:p w:rsidR="002B5F34" w:rsidRDefault="002B5F34" w:rsidP="003A07CF">
            <w:pPr>
              <w:jc w:val="both"/>
            </w:pPr>
          </w:p>
          <w:p w:rsidR="006632B3" w:rsidRDefault="006632B3" w:rsidP="006632B3">
            <w:pPr>
              <w:rPr>
                <w:b/>
                <w:i/>
              </w:rPr>
            </w:pPr>
            <w:r>
              <w:rPr>
                <w:b/>
                <w:i/>
              </w:rPr>
              <w:t>1.1 Los conceptos de desastre y riesgo</w:t>
            </w:r>
          </w:p>
          <w:p w:rsidR="006632B3" w:rsidRDefault="006632B3" w:rsidP="006632B3">
            <w:r>
              <w:t>1.1.1 El origen de los desastres</w:t>
            </w:r>
          </w:p>
          <w:p w:rsidR="006632B3" w:rsidRDefault="006632B3" w:rsidP="006632B3">
            <w:r>
              <w:t>1.1.2 Composición del riesgo</w:t>
            </w:r>
          </w:p>
          <w:p w:rsidR="006632B3" w:rsidRDefault="006632B3" w:rsidP="006632B3">
            <w:r>
              <w:t>1.1.3 Las amenazas</w:t>
            </w:r>
          </w:p>
          <w:p w:rsidR="006632B3" w:rsidRDefault="006632B3" w:rsidP="006632B3">
            <w:r>
              <w:t xml:space="preserve">1.1.4 </w:t>
            </w:r>
            <w:r w:rsidRPr="00C83732">
              <w:t>Vulnerabilidad y capacidades</w:t>
            </w:r>
          </w:p>
          <w:p w:rsidR="006632B3" w:rsidRDefault="006632B3" w:rsidP="006632B3">
            <w:r>
              <w:t>1.1.5 La vulnerabilidad</w:t>
            </w:r>
          </w:p>
          <w:p w:rsidR="006632B3" w:rsidRDefault="006632B3" w:rsidP="006632B3">
            <w:r>
              <w:t>1.1.6 Tipología y clasificación</w:t>
            </w:r>
          </w:p>
          <w:p w:rsidR="006632B3" w:rsidRDefault="006632B3" w:rsidP="006632B3">
            <w:r>
              <w:t>1.1.7 Incidencia de desastres en Centroamérica y la República Dominicana</w:t>
            </w:r>
          </w:p>
          <w:p w:rsidR="006632B3" w:rsidRDefault="006632B3" w:rsidP="006632B3"/>
          <w:p w:rsidR="006632B3" w:rsidRDefault="006632B3" w:rsidP="006632B3">
            <w:pPr>
              <w:rPr>
                <w:b/>
                <w:i/>
              </w:rPr>
            </w:pPr>
            <w:r>
              <w:rPr>
                <w:b/>
                <w:i/>
              </w:rPr>
              <w:t>1.2 La variabilidad y el cambio del clima exacerban los riesgos</w:t>
            </w:r>
          </w:p>
          <w:p w:rsidR="006632B3" w:rsidRDefault="006632B3" w:rsidP="006632B3">
            <w:r>
              <w:t>1.2.1 El medio físico: sistema atmósfera-océano-tierra</w:t>
            </w:r>
          </w:p>
          <w:p w:rsidR="006632B3" w:rsidRDefault="006632B3" w:rsidP="006632B3">
            <w:r>
              <w:t>1.2.2 Centroamérica y República Dominicana en la zona intertropical</w:t>
            </w:r>
          </w:p>
          <w:p w:rsidR="006632B3" w:rsidRDefault="006632B3" w:rsidP="006632B3">
            <w:r>
              <w:t>1.2.3 Influencias del Océano Pacífico y el Atlántico en el istmo centroamericano</w:t>
            </w:r>
          </w:p>
          <w:p w:rsidR="006632B3" w:rsidRDefault="006632B3" w:rsidP="006632B3">
            <w:r>
              <w:t xml:space="preserve">1.2.4 Función biológica del istmo centroamericano y el Corredor Biológico en el Caribe </w:t>
            </w:r>
          </w:p>
          <w:p w:rsidR="006632B3" w:rsidRDefault="006632B3" w:rsidP="006632B3">
            <w:r>
              <w:lastRenderedPageBreak/>
              <w:t>1.2.5 Relieve en América Central y la República Dominicana</w:t>
            </w:r>
          </w:p>
          <w:p w:rsidR="006632B3" w:rsidRDefault="006632B3" w:rsidP="006632B3">
            <w:r>
              <w:t>1.2.6 Climas de Centroamérica y la República Dominicana</w:t>
            </w:r>
          </w:p>
          <w:p w:rsidR="006632B3" w:rsidRDefault="006632B3" w:rsidP="006632B3">
            <w:r>
              <w:t xml:space="preserve">1.2.7 Variabilidad y cambio climático </w:t>
            </w:r>
          </w:p>
          <w:p w:rsidR="006632B3" w:rsidRDefault="006632B3" w:rsidP="006632B3">
            <w:r>
              <w:t>1.2.8 Escenarios de cambio climático y sus implicaciones en los principales riesgos de la región</w:t>
            </w:r>
          </w:p>
          <w:p w:rsidR="006632B3" w:rsidRDefault="006632B3" w:rsidP="006632B3"/>
          <w:p w:rsidR="006632B3" w:rsidRDefault="006632B3" w:rsidP="006632B3">
            <w:pPr>
              <w:rPr>
                <w:b/>
                <w:i/>
              </w:rPr>
            </w:pPr>
            <w:r>
              <w:rPr>
                <w:b/>
                <w:i/>
              </w:rPr>
              <w:t>1.3 La Gestión del Riesgo, la adaptación/mitigación ante el Cambio Climático y la Resiliencia</w:t>
            </w:r>
          </w:p>
          <w:p w:rsidR="006632B3" w:rsidRDefault="006632B3" w:rsidP="006632B3">
            <w:r>
              <w:t>1.3.1 Bases conceptuales para la Gestión del Riesgo</w:t>
            </w:r>
          </w:p>
          <w:p w:rsidR="006632B3" w:rsidRDefault="006632B3" w:rsidP="006632B3">
            <w:r>
              <w:t>1.3.2 La Reducción del Riesgo</w:t>
            </w:r>
          </w:p>
          <w:p w:rsidR="006632B3" w:rsidRDefault="006632B3" w:rsidP="006632B3">
            <w:r>
              <w:t>1.3.3 La adaptación y mitigación ante el Cambio Climático</w:t>
            </w:r>
          </w:p>
          <w:p w:rsidR="006632B3" w:rsidRDefault="006632B3" w:rsidP="006632B3">
            <w:r>
              <w:t>1.3.4 La Resiliencia</w:t>
            </w:r>
          </w:p>
          <w:p w:rsidR="006632B3" w:rsidRDefault="006632B3" w:rsidP="006632B3">
            <w:r>
              <w:t xml:space="preserve">1.3.5 El marco de Acción de </w:t>
            </w:r>
            <w:proofErr w:type="spellStart"/>
            <w:r>
              <w:t>Hyogo</w:t>
            </w:r>
            <w:proofErr w:type="spellEnd"/>
            <w:r>
              <w:t xml:space="preserve"> y el marco de Sendai para la Reducción del Riesgo de Desastres</w:t>
            </w:r>
          </w:p>
          <w:p w:rsidR="006632B3" w:rsidRDefault="006632B3" w:rsidP="006632B3">
            <w:r>
              <w:t>1.3.6 La Convención Marco de Naciones Unidas para el Cambio Climático</w:t>
            </w:r>
          </w:p>
          <w:p w:rsidR="006632B3" w:rsidRDefault="006632B3" w:rsidP="006632B3">
            <w:r>
              <w:t>1.3.7 Los Objetivos de Desarrollo del Milenio y los Objetivos de Desarrollo Sostenible</w:t>
            </w:r>
          </w:p>
          <w:p w:rsidR="006632B3" w:rsidRDefault="006632B3" w:rsidP="006632B3"/>
          <w:p w:rsidR="006632B3" w:rsidRPr="006632B3" w:rsidRDefault="006632B3" w:rsidP="006632B3">
            <w:pPr>
              <w:rPr>
                <w:b/>
                <w:i/>
                <w:highlight w:val="yellow"/>
              </w:rPr>
            </w:pPr>
            <w:r w:rsidRPr="006632B3">
              <w:rPr>
                <w:b/>
                <w:i/>
                <w:highlight w:val="yellow"/>
              </w:rPr>
              <w:t>1.4 El enfoque Derechos Humanos y Género en la gestión del riesgo y la adaptación/mitigación ante el cambio climático</w:t>
            </w:r>
          </w:p>
          <w:p w:rsidR="006632B3" w:rsidRPr="006632B3" w:rsidRDefault="006632B3" w:rsidP="006632B3">
            <w:pPr>
              <w:rPr>
                <w:highlight w:val="yellow"/>
              </w:rPr>
            </w:pPr>
            <w:r w:rsidRPr="006632B3">
              <w:rPr>
                <w:highlight w:val="yellow"/>
              </w:rPr>
              <w:t xml:space="preserve">1.4.1 El enfoque de derechos humanos </w:t>
            </w:r>
          </w:p>
          <w:p w:rsidR="006632B3" w:rsidRPr="006632B3" w:rsidRDefault="006632B3" w:rsidP="006632B3">
            <w:pPr>
              <w:rPr>
                <w:highlight w:val="yellow"/>
              </w:rPr>
            </w:pPr>
            <w:r w:rsidRPr="006632B3">
              <w:rPr>
                <w:highlight w:val="yellow"/>
              </w:rPr>
              <w:t>1.4.2 Definición de género</w:t>
            </w:r>
          </w:p>
          <w:p w:rsidR="006632B3" w:rsidRPr="006632B3" w:rsidRDefault="006632B3" w:rsidP="006632B3">
            <w:pPr>
              <w:rPr>
                <w:highlight w:val="yellow"/>
              </w:rPr>
            </w:pPr>
            <w:r w:rsidRPr="006632B3">
              <w:rPr>
                <w:highlight w:val="yellow"/>
              </w:rPr>
              <w:t>1.4.3 El Enfoque de género en Desastres</w:t>
            </w:r>
          </w:p>
          <w:p w:rsidR="006632B3" w:rsidRDefault="006632B3" w:rsidP="006632B3">
            <w:r w:rsidRPr="006632B3">
              <w:rPr>
                <w:highlight w:val="yellow"/>
              </w:rPr>
              <w:t>1.4.4 El enfoque de género y el cambio climático</w:t>
            </w:r>
          </w:p>
          <w:p w:rsidR="005C3263" w:rsidRDefault="005C3263" w:rsidP="005C3263"/>
        </w:tc>
      </w:tr>
    </w:tbl>
    <w:p w:rsidR="002B5F34" w:rsidRDefault="002B5F34" w:rsidP="003A07CF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B5F34" w:rsidTr="002B5F34">
        <w:tc>
          <w:tcPr>
            <w:tcW w:w="9054" w:type="dxa"/>
          </w:tcPr>
          <w:p w:rsidR="005B086F" w:rsidRPr="005B086F" w:rsidRDefault="005B086F" w:rsidP="005B086F">
            <w:pPr>
              <w:jc w:val="both"/>
              <w:rPr>
                <w:b/>
                <w:color w:val="17365D" w:themeColor="text2" w:themeShade="BF"/>
                <w:sz w:val="24"/>
              </w:rPr>
            </w:pPr>
            <w:r w:rsidRPr="005B086F">
              <w:rPr>
                <w:b/>
                <w:color w:val="17365D" w:themeColor="text2" w:themeShade="BF"/>
                <w:sz w:val="24"/>
              </w:rPr>
              <w:t xml:space="preserve">Módulo 2. Los riesgos y el cambio climático en el sector agropecuario y la Seguridad Alimentaria y </w:t>
            </w:r>
            <w:commentRangeStart w:id="1"/>
            <w:r w:rsidRPr="005B086F">
              <w:rPr>
                <w:b/>
                <w:color w:val="17365D" w:themeColor="text2" w:themeShade="BF"/>
                <w:sz w:val="24"/>
              </w:rPr>
              <w:t>Nutricional</w:t>
            </w:r>
            <w:commentRangeEnd w:id="1"/>
            <w:r w:rsidR="006632B3">
              <w:rPr>
                <w:rStyle w:val="CommentReference"/>
              </w:rPr>
              <w:commentReference w:id="1"/>
            </w:r>
          </w:p>
          <w:p w:rsidR="005B086F" w:rsidRDefault="005B086F" w:rsidP="005B086F">
            <w:pPr>
              <w:rPr>
                <w:b/>
                <w:i/>
                <w:color w:val="17365D" w:themeColor="text2" w:themeShade="BF"/>
              </w:rPr>
            </w:pPr>
          </w:p>
          <w:p w:rsidR="00F623E6" w:rsidRPr="002961D4" w:rsidRDefault="00F623E6" w:rsidP="00F623E6">
            <w:pPr>
              <w:rPr>
                <w:b/>
                <w:i/>
              </w:rPr>
            </w:pPr>
            <w:r w:rsidRPr="002961D4">
              <w:rPr>
                <w:b/>
                <w:i/>
              </w:rPr>
              <w:t>2.1 Los riesgos y el cambio climático en el sector agropecuario y la Seguridad Alimentaria y Nutricional</w:t>
            </w:r>
          </w:p>
          <w:p w:rsidR="00F623E6" w:rsidRPr="00A9595A" w:rsidRDefault="00F623E6" w:rsidP="00F623E6">
            <w:r w:rsidRPr="00A9595A">
              <w:t xml:space="preserve">2.1.1 La concepción del riesgo en el sector agroalimentario y tipos de riesgos </w:t>
            </w:r>
          </w:p>
          <w:p w:rsidR="00F623E6" w:rsidRPr="00A9595A" w:rsidRDefault="00F623E6" w:rsidP="00F623E6">
            <w:r w:rsidRPr="00A9595A">
              <w:t>2.1.2 Impactos del riesgo y cambio climático en el sector agropecuario de Centroamérica y República Dominicana</w:t>
            </w:r>
          </w:p>
          <w:p w:rsidR="00F623E6" w:rsidRPr="00A9595A" w:rsidRDefault="00F623E6" w:rsidP="00F623E6">
            <w:r w:rsidRPr="00A9595A">
              <w:t>2.1.3 La Seguridad Alimentaria y Nutricional en un contexto de riesgos crecientes y cambio climático</w:t>
            </w:r>
          </w:p>
          <w:p w:rsidR="00F623E6" w:rsidRPr="00A9595A" w:rsidRDefault="00F623E6" w:rsidP="00F623E6"/>
          <w:p w:rsidR="00F623E6" w:rsidRPr="002961D4" w:rsidRDefault="00F623E6" w:rsidP="00F623E6">
            <w:pPr>
              <w:rPr>
                <w:b/>
                <w:i/>
              </w:rPr>
            </w:pPr>
            <w:r w:rsidRPr="002961D4">
              <w:rPr>
                <w:b/>
                <w:i/>
              </w:rPr>
              <w:t xml:space="preserve">2.2 La gestión del riesgo en el sector agropecuario: un enfoque holístico </w:t>
            </w:r>
          </w:p>
          <w:p w:rsidR="00F623E6" w:rsidRPr="00A9595A" w:rsidRDefault="00F623E6" w:rsidP="00F623E6">
            <w:r w:rsidRPr="00A9595A">
              <w:t xml:space="preserve">2.2.1 El análisis del riesgo como la base </w:t>
            </w:r>
          </w:p>
          <w:p w:rsidR="00F623E6" w:rsidRPr="00A9595A" w:rsidRDefault="00F623E6" w:rsidP="00F623E6">
            <w:r w:rsidRPr="00A9595A">
              <w:t xml:space="preserve">2.2.2 Estrategias e instrumentos para la gestión del riesgo en un contexto de cambio climático </w:t>
            </w:r>
          </w:p>
          <w:p w:rsidR="00F623E6" w:rsidRPr="00A9595A" w:rsidRDefault="00F623E6" w:rsidP="00F623E6">
            <w:r w:rsidRPr="00A9595A">
              <w:t xml:space="preserve">2.2.2 Cuál es el rol del gobierno y cuáles las implicaciones en el sector privado </w:t>
            </w:r>
          </w:p>
          <w:p w:rsidR="00F623E6" w:rsidRPr="00A9595A" w:rsidRDefault="00F623E6" w:rsidP="00F623E6">
            <w:r w:rsidRPr="00A9595A">
              <w:t>2.2.3 Un marco integral para el análisis de los sistemas de gestión del riesgo y la adaptación/mitigación del cambio climático en la agricultura</w:t>
            </w:r>
          </w:p>
          <w:p w:rsidR="00F623E6" w:rsidRPr="00A9595A" w:rsidRDefault="00F623E6" w:rsidP="00F623E6"/>
          <w:p w:rsidR="00F623E6" w:rsidRPr="002961D4" w:rsidRDefault="00F623E6" w:rsidP="00F623E6">
            <w:pPr>
              <w:rPr>
                <w:b/>
                <w:i/>
              </w:rPr>
            </w:pPr>
            <w:r w:rsidRPr="002961D4">
              <w:rPr>
                <w:b/>
                <w:i/>
              </w:rPr>
              <w:t>2.3 Los retos y oportunidades de la Agricultura Familiar</w:t>
            </w:r>
          </w:p>
          <w:p w:rsidR="00F623E6" w:rsidRPr="00A9595A" w:rsidRDefault="00F623E6" w:rsidP="00F623E6">
            <w:r w:rsidRPr="00A9595A">
              <w:t>2.3.1 Situación de los agricultores familiares en Mesoamérica</w:t>
            </w:r>
            <w:r w:rsidR="00BC5235">
              <w:t xml:space="preserve"> y la República Dominicana</w:t>
            </w:r>
          </w:p>
          <w:p w:rsidR="00F623E6" w:rsidRPr="00A9595A" w:rsidRDefault="00F623E6" w:rsidP="00F623E6">
            <w:r w:rsidRPr="00A9595A">
              <w:t>2.3.2 Impactos de riesgos y cambio climático en la A</w:t>
            </w:r>
            <w:r w:rsidR="008B19F5">
              <w:t xml:space="preserve">gricultura </w:t>
            </w:r>
            <w:r w:rsidRPr="00A9595A">
              <w:t>F</w:t>
            </w:r>
            <w:r w:rsidR="008B19F5">
              <w:t>amiliar</w:t>
            </w:r>
          </w:p>
          <w:p w:rsidR="00F623E6" w:rsidRPr="00A9595A" w:rsidRDefault="00F623E6" w:rsidP="00F623E6">
            <w:r w:rsidRPr="00A9595A">
              <w:t xml:space="preserve">2.3.4 Las estrategias de gestión del riesgo y adaptación/mitigación del </w:t>
            </w:r>
            <w:r w:rsidR="008B19F5">
              <w:t xml:space="preserve">cambio climático </w:t>
            </w:r>
            <w:r w:rsidRPr="00A9595A">
              <w:t xml:space="preserve">en la </w:t>
            </w:r>
            <w:r w:rsidR="008B19F5">
              <w:t xml:space="preserve">agricultura familiar </w:t>
            </w:r>
            <w:r w:rsidRPr="00A9595A">
              <w:t xml:space="preserve">de </w:t>
            </w:r>
            <w:r w:rsidR="008B19F5">
              <w:t xml:space="preserve">Centroamérica </w:t>
            </w:r>
            <w:r w:rsidRPr="00A9595A">
              <w:t xml:space="preserve">y </w:t>
            </w:r>
            <w:r w:rsidR="008B19F5">
              <w:t>la República Dominicana</w:t>
            </w:r>
          </w:p>
          <w:p w:rsidR="00F623E6" w:rsidRPr="00A9595A" w:rsidRDefault="00F623E6" w:rsidP="00F623E6">
            <w:r w:rsidRPr="00A9595A">
              <w:t xml:space="preserve">2.3.2 La relevante contribución de la </w:t>
            </w:r>
            <w:r w:rsidR="008B19F5">
              <w:t xml:space="preserve">agricultura familiar </w:t>
            </w:r>
            <w:r w:rsidRPr="00A9595A">
              <w:t>a la S</w:t>
            </w:r>
            <w:r w:rsidR="008B19F5">
              <w:t>eguridad alimentaria y nutricional</w:t>
            </w:r>
            <w:r w:rsidRPr="00A9595A">
              <w:t xml:space="preserve"> y </w:t>
            </w:r>
            <w:r w:rsidRPr="00A9595A">
              <w:lastRenderedPageBreak/>
              <w:t>la sostenibilidad</w:t>
            </w:r>
          </w:p>
          <w:p w:rsidR="00F623E6" w:rsidRPr="00A9595A" w:rsidRDefault="00F623E6" w:rsidP="00F623E6"/>
          <w:p w:rsidR="00F623E6" w:rsidRPr="002961D4" w:rsidRDefault="00F623E6" w:rsidP="00F623E6">
            <w:pPr>
              <w:rPr>
                <w:b/>
                <w:i/>
              </w:rPr>
            </w:pPr>
            <w:r w:rsidRPr="002961D4">
              <w:rPr>
                <w:b/>
                <w:i/>
              </w:rPr>
              <w:t>2.4 La contribución del enfoque ‘Agricultura Sostenible Adaptada al Clima’</w:t>
            </w:r>
          </w:p>
          <w:p w:rsidR="00F623E6" w:rsidRPr="00A9595A" w:rsidRDefault="00F623E6" w:rsidP="00F623E6">
            <w:r w:rsidRPr="00A9595A">
              <w:t xml:space="preserve">2.4.1 El Concepto de </w:t>
            </w:r>
            <w:r w:rsidR="008B19F5" w:rsidRPr="008B19F5">
              <w:t xml:space="preserve">Agricultura sostenible Adaptada al Clima (ASAC) </w:t>
            </w:r>
            <w:r w:rsidR="00FC4FF3" w:rsidRPr="00FC4FF3">
              <w:t>/</w:t>
            </w:r>
            <w:r w:rsidR="008B19F5">
              <w:t xml:space="preserve"> A</w:t>
            </w:r>
            <w:r w:rsidR="008B19F5" w:rsidRPr="008B19F5">
              <w:t xml:space="preserve">gricultura climáticamente inteligente </w:t>
            </w:r>
            <w:r w:rsidR="008B19F5">
              <w:t>(</w:t>
            </w:r>
            <w:r w:rsidR="00FC4FF3" w:rsidRPr="00FC4FF3">
              <w:t>ACI</w:t>
            </w:r>
            <w:r w:rsidR="008B19F5">
              <w:t>)</w:t>
            </w:r>
          </w:p>
          <w:p w:rsidR="00F623E6" w:rsidRPr="00A9595A" w:rsidRDefault="00F623E6" w:rsidP="00F623E6">
            <w:r w:rsidRPr="00A9595A">
              <w:t>2.4.2 Análisis de sus debilidades, amenazas, fortalezas y oportunidades</w:t>
            </w:r>
          </w:p>
          <w:p w:rsidR="005B086F" w:rsidRDefault="00F623E6" w:rsidP="005B086F">
            <w:pPr>
              <w:rPr>
                <w:color w:val="17365D" w:themeColor="text2" w:themeShade="BF"/>
              </w:rPr>
            </w:pPr>
            <w:r w:rsidRPr="00A9595A">
              <w:t>2.4.3 Revisión de las condiciones para su aplicación y especificaciones técnicas</w:t>
            </w:r>
          </w:p>
          <w:p w:rsidR="002B5F34" w:rsidRDefault="002B5F34" w:rsidP="005B086F">
            <w:pPr>
              <w:jc w:val="both"/>
            </w:pPr>
          </w:p>
        </w:tc>
      </w:tr>
    </w:tbl>
    <w:p w:rsidR="005D74C3" w:rsidRDefault="005D74C3" w:rsidP="003A07CF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D74C3" w:rsidTr="005D74C3">
        <w:tc>
          <w:tcPr>
            <w:tcW w:w="9054" w:type="dxa"/>
          </w:tcPr>
          <w:p w:rsidR="005D74C3" w:rsidRDefault="00776BA4" w:rsidP="003A07CF">
            <w:pPr>
              <w:jc w:val="both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Módulo</w:t>
            </w:r>
            <w:r w:rsidR="005D74C3">
              <w:rPr>
                <w:b/>
                <w:color w:val="17365D" w:themeColor="text2" w:themeShade="BF"/>
              </w:rPr>
              <w:t xml:space="preserve"> 3: </w:t>
            </w:r>
            <w:r w:rsidRPr="00776BA4">
              <w:rPr>
                <w:b/>
                <w:color w:val="17365D" w:themeColor="text2" w:themeShade="BF"/>
              </w:rPr>
              <w:t>Los cuatro pilares para la gestión del riesgo agro-climático</w:t>
            </w:r>
            <w:r>
              <w:rPr>
                <w:b/>
                <w:color w:val="17365D" w:themeColor="text2" w:themeShade="BF"/>
              </w:rPr>
              <w:t xml:space="preserve"> en contribución a la Seguridad Alimentaria y Nutricional</w:t>
            </w:r>
          </w:p>
          <w:p w:rsidR="003A07CF" w:rsidRDefault="003A07CF" w:rsidP="00062CD7">
            <w:pPr>
              <w:jc w:val="both"/>
            </w:pPr>
          </w:p>
          <w:p w:rsidR="00F623E6" w:rsidRDefault="00F623E6" w:rsidP="00F623E6">
            <w:pPr>
              <w:jc w:val="both"/>
              <w:rPr>
                <w:b/>
              </w:rPr>
            </w:pPr>
            <w:r w:rsidRPr="00A52C3F">
              <w:rPr>
                <w:b/>
              </w:rPr>
              <w:t>3.0 Los pilares de la resiliencia</w:t>
            </w:r>
            <w:r>
              <w:rPr>
                <w:b/>
              </w:rPr>
              <w:t xml:space="preserve"> y el marco de Sendai para guiar la gestión del riesgo agro-climático.</w:t>
            </w:r>
          </w:p>
          <w:p w:rsidR="00F623E6" w:rsidRPr="00A52C3F" w:rsidRDefault="00F623E6" w:rsidP="00F623E6">
            <w:pPr>
              <w:jc w:val="both"/>
              <w:rPr>
                <w:b/>
              </w:rPr>
            </w:pPr>
          </w:p>
          <w:p w:rsidR="00F623E6" w:rsidRPr="00A52C3F" w:rsidRDefault="00F623E6" w:rsidP="00F623E6">
            <w:pPr>
              <w:jc w:val="both"/>
              <w:rPr>
                <w:b/>
              </w:rPr>
            </w:pPr>
            <w:r w:rsidRPr="00A52C3F">
              <w:rPr>
                <w:b/>
              </w:rPr>
              <w:t xml:space="preserve">3.1 </w:t>
            </w:r>
            <w:r>
              <w:rPr>
                <w:b/>
              </w:rPr>
              <w:t xml:space="preserve">Pilar 1 - </w:t>
            </w:r>
            <w:r w:rsidRPr="00A52C3F">
              <w:rPr>
                <w:b/>
              </w:rPr>
              <w:t xml:space="preserve">Crear un entorno propicio: fortalecer </w:t>
            </w:r>
            <w:r>
              <w:rPr>
                <w:b/>
              </w:rPr>
              <w:t xml:space="preserve">la institucionalidad y la </w:t>
            </w:r>
            <w:r w:rsidRPr="00A52C3F">
              <w:rPr>
                <w:b/>
              </w:rPr>
              <w:t xml:space="preserve">gobernanza para la </w:t>
            </w:r>
            <w:r>
              <w:rPr>
                <w:b/>
              </w:rPr>
              <w:t>gestión del riesgo agro-climático</w:t>
            </w:r>
          </w:p>
          <w:p w:rsidR="00F623E6" w:rsidRPr="00B51BF8" w:rsidRDefault="00F623E6" w:rsidP="00F623E6">
            <w:pPr>
              <w:jc w:val="both"/>
            </w:pPr>
            <w:r w:rsidRPr="00B51BF8">
              <w:t xml:space="preserve">3.1.1 </w:t>
            </w:r>
            <w:r>
              <w:t>Visión de i</w:t>
            </w:r>
            <w:r w:rsidRPr="00B51BF8">
              <w:t>nstitucionalidad y gobernanza para la gestión de riesgo agro-climático en los países del Sistema de Integración Centroamericana</w:t>
            </w:r>
          </w:p>
          <w:p w:rsidR="00F623E6" w:rsidRDefault="00F623E6" w:rsidP="00F623E6">
            <w:pPr>
              <w:jc w:val="both"/>
            </w:pPr>
            <w:r>
              <w:t xml:space="preserve">3.1.2 Instituciones regionales involucradas en la </w:t>
            </w:r>
            <w:r w:rsidR="00FC4FF3" w:rsidRPr="00FC4FF3">
              <w:t>gestión del riesgo agro-climático e instancias técnicas conformadas por consejos sectoriales de ministros</w:t>
            </w:r>
          </w:p>
          <w:p w:rsidR="00F623E6" w:rsidRDefault="00F623E6" w:rsidP="00F623E6">
            <w:pPr>
              <w:jc w:val="both"/>
            </w:pPr>
            <w:r>
              <w:t xml:space="preserve">3.1.4 Instituciones nacionales para la gestión del riesgo agro-climático </w:t>
            </w:r>
          </w:p>
          <w:p w:rsidR="00F623E6" w:rsidRDefault="00F623E6" w:rsidP="00F623E6">
            <w:pPr>
              <w:jc w:val="both"/>
            </w:pPr>
            <w:r>
              <w:t>3.1.5 Instrumentos financieros para facilitar la gestión del riesgo agro-climático</w:t>
            </w:r>
          </w:p>
          <w:p w:rsidR="00F623E6" w:rsidRPr="00C726C6" w:rsidRDefault="00F623E6" w:rsidP="00F623E6">
            <w:pPr>
              <w:jc w:val="both"/>
              <w:rPr>
                <w:i/>
              </w:rPr>
            </w:pPr>
            <w:r>
              <w:rPr>
                <w:i/>
              </w:rPr>
              <w:t>3.1.6</w:t>
            </w:r>
            <w:r w:rsidRPr="00C726C6">
              <w:rPr>
                <w:i/>
              </w:rPr>
              <w:t xml:space="preserve"> </w:t>
            </w:r>
            <w:r>
              <w:rPr>
                <w:i/>
              </w:rPr>
              <w:t>Propuesta de a</w:t>
            </w:r>
            <w:r w:rsidRPr="00C726C6">
              <w:rPr>
                <w:i/>
              </w:rPr>
              <w:t>cciones</w:t>
            </w:r>
            <w:r>
              <w:rPr>
                <w:i/>
              </w:rPr>
              <w:t xml:space="preserve"> para fortalecer </w:t>
            </w:r>
            <w:r w:rsidRPr="00C726C6">
              <w:rPr>
                <w:i/>
              </w:rPr>
              <w:t xml:space="preserve">la </w:t>
            </w:r>
            <w:r>
              <w:rPr>
                <w:i/>
              </w:rPr>
              <w:t>institucionalidad y gobernanza</w:t>
            </w:r>
            <w:r w:rsidRPr="00C726C6">
              <w:rPr>
                <w:i/>
              </w:rPr>
              <w:t xml:space="preserve"> (PILAR 1)</w:t>
            </w:r>
          </w:p>
          <w:p w:rsidR="00F623E6" w:rsidRDefault="00F623E6" w:rsidP="00F623E6">
            <w:pPr>
              <w:jc w:val="both"/>
            </w:pPr>
            <w:r>
              <w:t>3.1.7 Materiales de apoyo – Enfoques metodológicos, herramientas para la toma de decisiones, guías y otras buenas prácticas</w:t>
            </w:r>
          </w:p>
          <w:p w:rsidR="00F623E6" w:rsidRDefault="00F623E6" w:rsidP="00F623E6">
            <w:pPr>
              <w:jc w:val="both"/>
            </w:pPr>
          </w:p>
          <w:p w:rsidR="00F623E6" w:rsidRPr="00A52C3F" w:rsidRDefault="00F623E6" w:rsidP="00F623E6">
            <w:pPr>
              <w:jc w:val="both"/>
              <w:rPr>
                <w:b/>
              </w:rPr>
            </w:pPr>
            <w:r w:rsidRPr="00A52C3F">
              <w:rPr>
                <w:b/>
              </w:rPr>
              <w:t xml:space="preserve">3.2 </w:t>
            </w:r>
            <w:r>
              <w:rPr>
                <w:b/>
              </w:rPr>
              <w:t xml:space="preserve">Pilar 2 - </w:t>
            </w:r>
            <w:r w:rsidRPr="00A52C3F">
              <w:rPr>
                <w:b/>
              </w:rPr>
              <w:t>Vigilar para proteger: Sistemas de inf</w:t>
            </w:r>
            <w:r>
              <w:rPr>
                <w:b/>
              </w:rPr>
              <w:t xml:space="preserve">ormación y alerta temprana </w:t>
            </w:r>
            <w:r w:rsidRPr="00A52C3F">
              <w:rPr>
                <w:b/>
              </w:rPr>
              <w:t xml:space="preserve"> </w:t>
            </w:r>
          </w:p>
          <w:p w:rsidR="00F623E6" w:rsidRDefault="00F623E6" w:rsidP="00F623E6">
            <w:pPr>
              <w:jc w:val="both"/>
            </w:pPr>
            <w:r>
              <w:t xml:space="preserve">3.2.1 Sistemas de Alerta Temprana en Centroamérica </w:t>
            </w:r>
            <w:r w:rsidR="00BC5235">
              <w:t xml:space="preserve">y la República Dominicana </w:t>
            </w:r>
            <w:r>
              <w:t>activos en los países del</w:t>
            </w:r>
            <w:r w:rsidR="004A3B40">
              <w:t xml:space="preserve"> </w:t>
            </w:r>
            <w:r w:rsidR="004A3B40" w:rsidRPr="004A3B40">
              <w:t>Sistema de la Integración Centroamericana (SICA)</w:t>
            </w:r>
          </w:p>
          <w:p w:rsidR="00F623E6" w:rsidRDefault="00F623E6" w:rsidP="00F623E6">
            <w:pPr>
              <w:jc w:val="both"/>
            </w:pPr>
            <w:r>
              <w:t>3.2.2 Tecnología Satelital y sistemas de alerta temprana</w:t>
            </w:r>
          </w:p>
          <w:p w:rsidR="00F623E6" w:rsidRDefault="00F623E6" w:rsidP="00F623E6">
            <w:pPr>
              <w:jc w:val="both"/>
            </w:pPr>
            <w:r>
              <w:t>3.2.3 Institucionalización de los sistemas nacionales de alerta temprana</w:t>
            </w:r>
          </w:p>
          <w:p w:rsidR="00F623E6" w:rsidRPr="00B51BF8" w:rsidRDefault="00F623E6" w:rsidP="00F623E6">
            <w:pPr>
              <w:jc w:val="both"/>
              <w:rPr>
                <w:i/>
              </w:rPr>
            </w:pPr>
            <w:r>
              <w:rPr>
                <w:i/>
              </w:rPr>
              <w:t>3.2.6</w:t>
            </w:r>
            <w:r w:rsidRPr="00B51BF8">
              <w:rPr>
                <w:i/>
              </w:rPr>
              <w:t xml:space="preserve"> Propuesta de a</w:t>
            </w:r>
            <w:r>
              <w:rPr>
                <w:i/>
              </w:rPr>
              <w:t xml:space="preserve">cciones para el desarrollo de sistemas de información y alerta temprana </w:t>
            </w:r>
            <w:r w:rsidRPr="00B51BF8">
              <w:rPr>
                <w:i/>
              </w:rPr>
              <w:t>(PILAR 2)</w:t>
            </w:r>
          </w:p>
          <w:p w:rsidR="00F623E6" w:rsidRDefault="00F623E6" w:rsidP="00F623E6">
            <w:pPr>
              <w:jc w:val="both"/>
            </w:pPr>
            <w:r>
              <w:t>3.2.7 Material de apoyo – sistemas de información y metodologías de análisis de riesgos que contribuyen a la gestión de riesgos agro-climáticos</w:t>
            </w:r>
          </w:p>
          <w:p w:rsidR="00F623E6" w:rsidRDefault="00F623E6" w:rsidP="00F623E6">
            <w:pPr>
              <w:jc w:val="both"/>
            </w:pPr>
          </w:p>
          <w:p w:rsidR="00F623E6" w:rsidRPr="00126F3B" w:rsidRDefault="00F623E6" w:rsidP="00F623E6">
            <w:pPr>
              <w:jc w:val="both"/>
              <w:rPr>
                <w:b/>
              </w:rPr>
            </w:pPr>
            <w:r>
              <w:rPr>
                <w:b/>
              </w:rPr>
              <w:t>3.3 Pilar 3 - M</w:t>
            </w:r>
            <w:r w:rsidRPr="00126F3B">
              <w:rPr>
                <w:b/>
              </w:rPr>
              <w:t xml:space="preserve">edidas de Prevención y Mitigación: Promoción y diversificación de los medios de vida con tecnologías, enfoques y prácticas de reducción de riesgo en todos los sectores agrícolas </w:t>
            </w:r>
          </w:p>
          <w:p w:rsidR="00F623E6" w:rsidRPr="00126F3B" w:rsidRDefault="00F623E6" w:rsidP="00F623E6">
            <w:pPr>
              <w:jc w:val="both"/>
            </w:pPr>
            <w:r>
              <w:t>3.3.1 Atención de los factores subyacentes para la reducción del riesgo agro-climático</w:t>
            </w:r>
          </w:p>
          <w:p w:rsidR="00F623E6" w:rsidRDefault="00F623E6" w:rsidP="00F623E6">
            <w:pPr>
              <w:jc w:val="both"/>
            </w:pPr>
            <w:r>
              <w:t>3.3.2 Avances la adaptación al Cambio Climatico en el sector agroalimentario</w:t>
            </w:r>
          </w:p>
          <w:p w:rsidR="00F623E6" w:rsidRPr="00257261" w:rsidRDefault="00F623E6" w:rsidP="00F623E6">
            <w:pPr>
              <w:jc w:val="both"/>
              <w:rPr>
                <w:i/>
              </w:rPr>
            </w:pPr>
            <w:r w:rsidRPr="00257261">
              <w:rPr>
                <w:i/>
              </w:rPr>
              <w:t xml:space="preserve">3.3.3 </w:t>
            </w:r>
            <w:r>
              <w:rPr>
                <w:i/>
              </w:rPr>
              <w:t>Propuestas de acción para la prevención y mitigación del</w:t>
            </w:r>
            <w:r w:rsidRPr="00257261">
              <w:rPr>
                <w:i/>
              </w:rPr>
              <w:t xml:space="preserve"> riesgo</w:t>
            </w:r>
            <w:r>
              <w:rPr>
                <w:i/>
              </w:rPr>
              <w:t xml:space="preserve"> agro-climático</w:t>
            </w:r>
            <w:r w:rsidRPr="00257261">
              <w:rPr>
                <w:i/>
              </w:rPr>
              <w:t xml:space="preserve"> (PILAR 3)</w:t>
            </w:r>
          </w:p>
          <w:p w:rsidR="00F623E6" w:rsidRDefault="00BC5235" w:rsidP="00F623E6">
            <w:pPr>
              <w:jc w:val="both"/>
            </w:pPr>
            <w:r>
              <w:t xml:space="preserve"> </w:t>
            </w:r>
            <w:r w:rsidR="00F623E6">
              <w:t>3.3.3.1 Enfoques, t</w:t>
            </w:r>
            <w:r w:rsidR="00F623E6" w:rsidRPr="00126F3B">
              <w:t>ecnologías</w:t>
            </w:r>
            <w:r w:rsidR="00F623E6">
              <w:t xml:space="preserve"> y buenas prácticas para la gestión de riesgos climáticos en </w:t>
            </w:r>
            <w:r w:rsidR="00F623E6" w:rsidRPr="00126F3B">
              <w:t xml:space="preserve">agricultura, ganadería, pesca y acuicultura, bosques y </w:t>
            </w:r>
            <w:r w:rsidR="00F623E6">
              <w:t>manejo de</w:t>
            </w:r>
            <w:r w:rsidR="00F623E6" w:rsidRPr="00126F3B">
              <w:t xml:space="preserve"> recursos naturales</w:t>
            </w:r>
          </w:p>
          <w:p w:rsidR="00F623E6" w:rsidRDefault="00BC5235" w:rsidP="00F623E6">
            <w:pPr>
              <w:jc w:val="both"/>
            </w:pPr>
            <w:r>
              <w:t xml:space="preserve"> </w:t>
            </w:r>
            <w:r w:rsidR="00F623E6" w:rsidRPr="00126F3B">
              <w:t xml:space="preserve">3.3.3.2 </w:t>
            </w:r>
            <w:r w:rsidR="00F623E6">
              <w:t>Instrumentos financieros para la gestión del riesgo agro-climático</w:t>
            </w:r>
          </w:p>
          <w:p w:rsidR="00F623E6" w:rsidRDefault="00474AB8" w:rsidP="00F623E6">
            <w:pPr>
              <w:jc w:val="both"/>
            </w:pPr>
            <w:r>
              <w:t xml:space="preserve">3.3.4 Material de apoyo </w:t>
            </w:r>
            <w:r w:rsidR="00F623E6">
              <w:t xml:space="preserve"> </w:t>
            </w:r>
          </w:p>
          <w:p w:rsidR="00F623E6" w:rsidRDefault="00F623E6" w:rsidP="00F623E6">
            <w:pPr>
              <w:jc w:val="both"/>
            </w:pPr>
          </w:p>
          <w:p w:rsidR="00F623E6" w:rsidRPr="007B027D" w:rsidRDefault="00F623E6" w:rsidP="00F623E6">
            <w:pPr>
              <w:jc w:val="both"/>
              <w:rPr>
                <w:b/>
              </w:rPr>
            </w:pPr>
            <w:r w:rsidRPr="007B027D">
              <w:rPr>
                <w:b/>
              </w:rPr>
              <w:t xml:space="preserve">3.4 Prepararse para responder. Preparación para una respuesta y una recuperación eficaces en </w:t>
            </w:r>
            <w:r>
              <w:rPr>
                <w:b/>
              </w:rPr>
              <w:t>el sector agroalimentario para la Seguridad Alimentaria y Nutricional</w:t>
            </w:r>
          </w:p>
          <w:p w:rsidR="00F623E6" w:rsidRDefault="00F623E6" w:rsidP="00F623E6">
            <w:pPr>
              <w:jc w:val="both"/>
            </w:pPr>
            <w:r>
              <w:t>3.4.1 Preparación y respuesta ante desastres en el sector agroalimentario con impactos en la Seguridad Alimentaria y Nutricional</w:t>
            </w:r>
          </w:p>
          <w:p w:rsidR="00F623E6" w:rsidRDefault="00F623E6" w:rsidP="00F623E6">
            <w:pPr>
              <w:jc w:val="both"/>
            </w:pPr>
            <w:r w:rsidRPr="007B027D">
              <w:t>3.4.2 Arquitectura Humanitaria para la Respuesta a Desastres</w:t>
            </w:r>
          </w:p>
          <w:p w:rsidR="00F623E6" w:rsidRDefault="00F623E6" w:rsidP="00F623E6">
            <w:pPr>
              <w:jc w:val="both"/>
            </w:pPr>
            <w:r>
              <w:t xml:space="preserve">3.4.3 Avances institucionales en preparación, respuesta y rehabilitación ante eventos climáticos extremos en el sector agroalimentario de los países del </w:t>
            </w:r>
            <w:r w:rsidR="004A3B40" w:rsidRPr="004A3B40">
              <w:t>Sistema de la Integración Centroamericana (SICA)</w:t>
            </w:r>
          </w:p>
          <w:p w:rsidR="00F623E6" w:rsidRPr="00257261" w:rsidRDefault="00F623E6" w:rsidP="00F623E6">
            <w:pPr>
              <w:jc w:val="both"/>
              <w:rPr>
                <w:i/>
              </w:rPr>
            </w:pPr>
            <w:r>
              <w:rPr>
                <w:i/>
              </w:rPr>
              <w:t>3.4.3 Acciones propuestas para la preparación, respuesta y rehabilitación</w:t>
            </w:r>
            <w:r w:rsidRPr="00257261">
              <w:rPr>
                <w:i/>
              </w:rPr>
              <w:t xml:space="preserve"> (PILAR 4)</w:t>
            </w:r>
          </w:p>
          <w:p w:rsidR="00F623E6" w:rsidRDefault="00F623E6" w:rsidP="005C3263">
            <w:pPr>
              <w:jc w:val="both"/>
            </w:pPr>
            <w:r>
              <w:t>3.4.5 Material de apoyo</w:t>
            </w:r>
          </w:p>
        </w:tc>
      </w:tr>
    </w:tbl>
    <w:p w:rsidR="005D74C3" w:rsidRDefault="005D74C3" w:rsidP="003A07CF">
      <w:pPr>
        <w:spacing w:after="0" w:line="240" w:lineRule="auto"/>
        <w:jc w:val="both"/>
      </w:pPr>
    </w:p>
    <w:p w:rsidR="0032120C" w:rsidRDefault="0032120C" w:rsidP="003A07CF">
      <w:pPr>
        <w:spacing w:after="0" w:line="240" w:lineRule="auto"/>
        <w:jc w:val="both"/>
        <w:rPr>
          <w:b/>
        </w:rPr>
      </w:pPr>
      <w:r>
        <w:rPr>
          <w:b/>
        </w:rPr>
        <w:t>1.8</w:t>
      </w:r>
      <w:r w:rsidRPr="002B5F34">
        <w:rPr>
          <w:b/>
        </w:rPr>
        <w:t xml:space="preserve"> </w:t>
      </w:r>
      <w:r w:rsidR="007700D1">
        <w:rPr>
          <w:b/>
        </w:rPr>
        <w:t>Seguimiento al programa de formación</w:t>
      </w:r>
    </w:p>
    <w:p w:rsidR="00261832" w:rsidRDefault="00261832" w:rsidP="003A07CF">
      <w:pPr>
        <w:spacing w:after="0" w:line="240" w:lineRule="auto"/>
        <w:jc w:val="both"/>
      </w:pPr>
      <w:r w:rsidRPr="00261832">
        <w:t xml:space="preserve">El monitoreo del Sistema de Formación se dará en paralelo </w:t>
      </w:r>
      <w:r>
        <w:t>a la implementación de las dos fases del programa de formación</w:t>
      </w:r>
      <w:r w:rsidRPr="00261832">
        <w:t xml:space="preserve">. </w:t>
      </w:r>
      <w:r w:rsidR="00C6143E">
        <w:t>Este monitoreo comprenderá el seguimiento de los siguientes indicadores:</w:t>
      </w:r>
    </w:p>
    <w:p w:rsidR="003755AA" w:rsidRDefault="003755AA" w:rsidP="003A07CF">
      <w:pPr>
        <w:spacing w:after="0" w:line="240" w:lineRule="auto"/>
        <w:jc w:val="both"/>
      </w:pPr>
    </w:p>
    <w:p w:rsidR="00C6143E" w:rsidRPr="00D93732" w:rsidRDefault="00C6143E" w:rsidP="00F4047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93732">
        <w:t>Número y diversidad de participantes en la fase I del programa de formación y auto-evaluación de capacidades</w:t>
      </w:r>
      <w:r w:rsidR="00C5560F" w:rsidRPr="00D93732">
        <w:t>.</w:t>
      </w:r>
    </w:p>
    <w:p w:rsidR="00C6143E" w:rsidRPr="00D93732" w:rsidRDefault="000F5E01" w:rsidP="00F4047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93732">
        <w:t>Número y diversidad de miembros del Comité de Expertos (temas, países, instituciones) que supervisa el contenido y utilidad del programa de formación.</w:t>
      </w:r>
    </w:p>
    <w:p w:rsidR="00F40479" w:rsidRPr="00D93732" w:rsidRDefault="00F40479" w:rsidP="004A3B40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93732">
        <w:t xml:space="preserve">Validez y consulta </w:t>
      </w:r>
      <w:r w:rsidR="003755AA" w:rsidRPr="00D93732">
        <w:t>de la base documental</w:t>
      </w:r>
      <w:r w:rsidRPr="00D93732">
        <w:t xml:space="preserve"> y herramientas</w:t>
      </w:r>
      <w:r w:rsidR="003755AA" w:rsidRPr="00D93732">
        <w:t xml:space="preserve"> del sistema</w:t>
      </w:r>
      <w:r w:rsidRPr="00D93732">
        <w:t xml:space="preserve">, albergadas en la plataforma del Grupo Técnico de Cambio Climático y Gestión Integral del Riesgo del </w:t>
      </w:r>
      <w:r w:rsidR="004A3B40" w:rsidRPr="00D93732">
        <w:t>Consejo Agropecuario Centroamericano (CAC)</w:t>
      </w:r>
      <w:r w:rsidRPr="00D93732">
        <w:t>.</w:t>
      </w:r>
    </w:p>
    <w:p w:rsidR="00F40479" w:rsidRPr="00D93732" w:rsidRDefault="00F40479" w:rsidP="00F4047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93732">
        <w:t>Grado de institucionalización (apropiación) por parte de instituciones de los países del Sistema de Integración Centroamericana – programa de referencia para el personal de la institución financiado con recursos propios.</w:t>
      </w:r>
    </w:p>
    <w:p w:rsidR="00F40479" w:rsidRPr="00D93732" w:rsidRDefault="00F40479" w:rsidP="00F40479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D93732">
        <w:t xml:space="preserve">Evaluación de los pilotos sub-nacionales en territorios prioritarios con base en indicadores especificados durante el diseño del piloto.  </w:t>
      </w:r>
    </w:p>
    <w:p w:rsidR="00F40479" w:rsidRPr="00D93732" w:rsidRDefault="00F40479" w:rsidP="003A07CF">
      <w:pPr>
        <w:spacing w:after="0" w:line="240" w:lineRule="auto"/>
        <w:jc w:val="both"/>
      </w:pPr>
    </w:p>
    <w:p w:rsidR="00C6143E" w:rsidRPr="00D93732" w:rsidRDefault="00F40479" w:rsidP="003A07CF">
      <w:pPr>
        <w:spacing w:after="0" w:line="240" w:lineRule="auto"/>
        <w:jc w:val="both"/>
      </w:pPr>
      <w:r w:rsidRPr="00D93732">
        <w:t>Se prevé</w:t>
      </w:r>
      <w:r w:rsidR="00261832" w:rsidRPr="00D93732">
        <w:t xml:space="preserve"> un monitoreo compartido con los actores involucrados en el Si</w:t>
      </w:r>
      <w:r w:rsidRPr="00D93732">
        <w:t>stema de Formación para asegurar</w:t>
      </w:r>
      <w:r w:rsidR="00261832" w:rsidRPr="00D93732">
        <w:t xml:space="preserve"> una adecuada apropiación de responsabilidades. </w:t>
      </w:r>
    </w:p>
    <w:p w:rsidR="00F40479" w:rsidRPr="00D93732" w:rsidRDefault="00F40479" w:rsidP="003A07CF">
      <w:pPr>
        <w:spacing w:after="0" w:line="240" w:lineRule="auto"/>
        <w:jc w:val="both"/>
      </w:pPr>
    </w:p>
    <w:p w:rsidR="0032120C" w:rsidRDefault="00261832" w:rsidP="003A07CF">
      <w:pPr>
        <w:spacing w:after="0" w:line="240" w:lineRule="auto"/>
        <w:jc w:val="both"/>
      </w:pPr>
      <w:r w:rsidRPr="00D93732">
        <w:t>Los aprendizajes serán integrados en una versión 2.0 del Sistema de Formación que pondrá énfasis en la sostenibilidad de los procesos de capacitación y gestión del conocimiento tanto a nivel nacional como en los territorios beneficiados.</w:t>
      </w:r>
    </w:p>
    <w:sectPr w:rsidR="0032120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sorio, Elizabeth (FAOSLM)" w:date="2016-01-19T11:55:00Z" w:initials="OE">
    <w:p w:rsidR="006632B3" w:rsidRDefault="006632B3">
      <w:pPr>
        <w:pStyle w:val="CommentText"/>
      </w:pPr>
      <w:r>
        <w:rPr>
          <w:rStyle w:val="CommentReference"/>
        </w:rPr>
        <w:annotationRef/>
      </w:r>
      <w:r>
        <w:t xml:space="preserve">El módulo II y III aún está en revisión. </w:t>
      </w:r>
      <w:r w:rsidR="0015140A">
        <w:t>El capítulo 4</w:t>
      </w:r>
      <w:r>
        <w:t xml:space="preserve"> del Módulo I </w:t>
      </w:r>
      <w:r w:rsidR="0015140A">
        <w:t xml:space="preserve">que corresponde a la parte de Género </w:t>
      </w:r>
      <w:r>
        <w:t>también</w:t>
      </w:r>
      <w:r w:rsidR="0015140A">
        <w:t xml:space="preserve"> está sujeta a cambios</w:t>
      </w:r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E6" w:rsidRDefault="00B152E6" w:rsidP="009D07A5">
      <w:pPr>
        <w:spacing w:after="0" w:line="240" w:lineRule="auto"/>
      </w:pPr>
      <w:r>
        <w:separator/>
      </w:r>
    </w:p>
  </w:endnote>
  <w:endnote w:type="continuationSeparator" w:id="0">
    <w:p w:rsidR="00B152E6" w:rsidRDefault="00B152E6" w:rsidP="009D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772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DFC" w:rsidRDefault="00513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3DFC" w:rsidRDefault="00513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E6" w:rsidRDefault="00B152E6" w:rsidP="009D07A5">
      <w:pPr>
        <w:spacing w:after="0" w:line="240" w:lineRule="auto"/>
      </w:pPr>
      <w:r>
        <w:separator/>
      </w:r>
    </w:p>
  </w:footnote>
  <w:footnote w:type="continuationSeparator" w:id="0">
    <w:p w:rsidR="00B152E6" w:rsidRDefault="00B152E6" w:rsidP="009D07A5">
      <w:pPr>
        <w:spacing w:after="0" w:line="240" w:lineRule="auto"/>
      </w:pPr>
      <w:r>
        <w:continuationSeparator/>
      </w:r>
    </w:p>
  </w:footnote>
  <w:footnote w:id="1">
    <w:p w:rsidR="00FA47E8" w:rsidRDefault="00FA47E8" w:rsidP="0042049F">
      <w:pPr>
        <w:spacing w:after="0" w:line="240" w:lineRule="auto"/>
        <w:jc w:val="both"/>
      </w:pPr>
      <w:r>
        <w:rPr>
          <w:rStyle w:val="FootnoteReference"/>
        </w:rPr>
        <w:footnoteRef/>
      </w:r>
      <w:r w:rsidR="002A75F1">
        <w:t xml:space="preserve"> PNUD. 2008. Nota de Práctica</w:t>
      </w:r>
      <w:r>
        <w:t>.</w:t>
      </w:r>
      <w:r w:rsidRPr="009D07A5">
        <w:t xml:space="preserve"> </w:t>
      </w:r>
      <w:r>
        <w:t xml:space="preserve">Diagnóstico de Capacidades. Nueva York, </w:t>
      </w:r>
      <w:bookmarkStart w:id="0" w:name="_GoBack"/>
      <w:bookmarkEnd w:id="0"/>
      <w:r>
        <w:t>EE.UU.</w:t>
      </w:r>
    </w:p>
  </w:footnote>
  <w:footnote w:id="2">
    <w:p w:rsidR="00FA47E8" w:rsidRDefault="00FA47E8" w:rsidP="00FA47E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2049F">
        <w:t xml:space="preserve">EIRD. 2004. </w:t>
      </w:r>
      <w:r>
        <w:t>Vivir con el Riesgo. Informe mundial sobre iniciativas</w:t>
      </w:r>
      <w:r w:rsidR="0042049F">
        <w:t xml:space="preserve"> para la reducción de desastres</w:t>
      </w:r>
      <w:r>
        <w:t xml:space="preserve">. </w:t>
      </w:r>
    </w:p>
  </w:footnote>
  <w:footnote w:id="3">
    <w:p w:rsidR="00FA47E8" w:rsidRDefault="00FA47E8" w:rsidP="00FA47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2A24" w:rsidRPr="00684D7A">
        <w:t>PNUD, UNESCO, CRUZ ROJA, ONEMI y Comisión Europea.</w:t>
      </w:r>
      <w:r w:rsidR="009A2A24">
        <w:t xml:space="preserve"> 2012.</w:t>
      </w:r>
      <w:r w:rsidR="009A2A24" w:rsidRPr="00684D7A">
        <w:t xml:space="preserve"> </w:t>
      </w:r>
      <w:r w:rsidRPr="00684D7A">
        <w:t>“Análisis de Riesgos de Desastres en Chile”. VII Plan de Acción DIPECHO en Sudaméric</w:t>
      </w:r>
      <w:r w:rsidR="009A2A24">
        <w:t xml:space="preserve">a 2011-2012.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1" w:rsidRPr="00AE2117" w:rsidRDefault="00044F31" w:rsidP="00044F31">
    <w:pPr>
      <w:pStyle w:val="Header"/>
      <w:rPr>
        <w:lang w:val="es-ES"/>
      </w:rPr>
    </w:pPr>
    <w:r>
      <w:rPr>
        <w:noProof/>
        <w:lang w:val="en-US"/>
      </w:rPr>
      <w:drawing>
        <wp:inline distT="0" distB="0" distL="0" distR="0" wp14:anchorId="2ACAB3D7" wp14:editId="3D6201F1">
          <wp:extent cx="532263" cy="495507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207" cy="49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</w:t>
    </w:r>
    <w:r w:rsidRPr="00AE2117">
      <w:rPr>
        <w:lang w:val="es-ES"/>
      </w:rPr>
      <w:t xml:space="preserve">Sistema de Formación en Resiliencia – </w:t>
    </w:r>
    <w:r>
      <w:rPr>
        <w:lang w:val="es-ES"/>
      </w:rPr>
      <w:t xml:space="preserve">CONSULTA </w:t>
    </w:r>
    <w:r w:rsidRPr="00AE2117">
      <w:rPr>
        <w:lang w:val="es-ES"/>
      </w:rPr>
      <w:t>Programa de Formaci</w:t>
    </w:r>
    <w:r>
      <w:rPr>
        <w:lang w:val="es-ES"/>
      </w:rPr>
      <w:t>ón 2015-2016</w:t>
    </w:r>
  </w:p>
  <w:p w:rsidR="00044F31" w:rsidRPr="00044F31" w:rsidRDefault="00044F3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0D2"/>
    <w:multiLevelType w:val="hybridMultilevel"/>
    <w:tmpl w:val="80DE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30FB"/>
    <w:multiLevelType w:val="hybridMultilevel"/>
    <w:tmpl w:val="3B3279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4F7"/>
    <w:multiLevelType w:val="hybridMultilevel"/>
    <w:tmpl w:val="B4106A86"/>
    <w:lvl w:ilvl="0" w:tplc="05ACE5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EF3"/>
    <w:multiLevelType w:val="hybridMultilevel"/>
    <w:tmpl w:val="F62E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52135"/>
    <w:multiLevelType w:val="hybridMultilevel"/>
    <w:tmpl w:val="36E2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3FF7"/>
    <w:multiLevelType w:val="hybridMultilevel"/>
    <w:tmpl w:val="708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47650"/>
    <w:multiLevelType w:val="hybridMultilevel"/>
    <w:tmpl w:val="4EEA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29"/>
    <w:rsid w:val="00002EE0"/>
    <w:rsid w:val="00044F31"/>
    <w:rsid w:val="00056F85"/>
    <w:rsid w:val="00062CD7"/>
    <w:rsid w:val="00090514"/>
    <w:rsid w:val="000B43F0"/>
    <w:rsid w:val="000B69DB"/>
    <w:rsid w:val="000F5E01"/>
    <w:rsid w:val="001176C7"/>
    <w:rsid w:val="00132E9C"/>
    <w:rsid w:val="0015140A"/>
    <w:rsid w:val="00157C34"/>
    <w:rsid w:val="001669C5"/>
    <w:rsid w:val="0016774D"/>
    <w:rsid w:val="002118F2"/>
    <w:rsid w:val="00261832"/>
    <w:rsid w:val="00286E9B"/>
    <w:rsid w:val="002A75F1"/>
    <w:rsid w:val="002B5F34"/>
    <w:rsid w:val="002D6D48"/>
    <w:rsid w:val="0030293E"/>
    <w:rsid w:val="00306D81"/>
    <w:rsid w:val="0032120C"/>
    <w:rsid w:val="00331385"/>
    <w:rsid w:val="003732D5"/>
    <w:rsid w:val="003755AA"/>
    <w:rsid w:val="00380E4D"/>
    <w:rsid w:val="00396578"/>
    <w:rsid w:val="003A07CF"/>
    <w:rsid w:val="0042049F"/>
    <w:rsid w:val="00432373"/>
    <w:rsid w:val="0044189C"/>
    <w:rsid w:val="00442365"/>
    <w:rsid w:val="00443D93"/>
    <w:rsid w:val="004461F4"/>
    <w:rsid w:val="00460E88"/>
    <w:rsid w:val="00474AB8"/>
    <w:rsid w:val="004A3B40"/>
    <w:rsid w:val="004B2152"/>
    <w:rsid w:val="004F5CA7"/>
    <w:rsid w:val="00513DFC"/>
    <w:rsid w:val="00525B29"/>
    <w:rsid w:val="00552116"/>
    <w:rsid w:val="00570273"/>
    <w:rsid w:val="005809FA"/>
    <w:rsid w:val="005832D9"/>
    <w:rsid w:val="005B086F"/>
    <w:rsid w:val="005C0098"/>
    <w:rsid w:val="005C3263"/>
    <w:rsid w:val="005D4622"/>
    <w:rsid w:val="005D74C3"/>
    <w:rsid w:val="005E2AE4"/>
    <w:rsid w:val="006632B3"/>
    <w:rsid w:val="00684D7A"/>
    <w:rsid w:val="006A354A"/>
    <w:rsid w:val="007010C9"/>
    <w:rsid w:val="00715DE3"/>
    <w:rsid w:val="007162D4"/>
    <w:rsid w:val="00726147"/>
    <w:rsid w:val="0073370E"/>
    <w:rsid w:val="007700D1"/>
    <w:rsid w:val="00776BA4"/>
    <w:rsid w:val="007B54E7"/>
    <w:rsid w:val="007F0C67"/>
    <w:rsid w:val="007F4635"/>
    <w:rsid w:val="0080494C"/>
    <w:rsid w:val="008638DC"/>
    <w:rsid w:val="00897F78"/>
    <w:rsid w:val="008B19F5"/>
    <w:rsid w:val="008C7409"/>
    <w:rsid w:val="009146D7"/>
    <w:rsid w:val="00930F61"/>
    <w:rsid w:val="00955635"/>
    <w:rsid w:val="009564A7"/>
    <w:rsid w:val="009A2A24"/>
    <w:rsid w:val="009D07A5"/>
    <w:rsid w:val="00A03141"/>
    <w:rsid w:val="00A22462"/>
    <w:rsid w:val="00AA20E1"/>
    <w:rsid w:val="00AB19FB"/>
    <w:rsid w:val="00B152E6"/>
    <w:rsid w:val="00B17862"/>
    <w:rsid w:val="00B254FE"/>
    <w:rsid w:val="00B8198D"/>
    <w:rsid w:val="00BB361E"/>
    <w:rsid w:val="00BC5235"/>
    <w:rsid w:val="00C033C8"/>
    <w:rsid w:val="00C12899"/>
    <w:rsid w:val="00C37F0B"/>
    <w:rsid w:val="00C53FE8"/>
    <w:rsid w:val="00C5560F"/>
    <w:rsid w:val="00C6143E"/>
    <w:rsid w:val="00CC0B5F"/>
    <w:rsid w:val="00CE1815"/>
    <w:rsid w:val="00D05667"/>
    <w:rsid w:val="00D22725"/>
    <w:rsid w:val="00D93732"/>
    <w:rsid w:val="00DA4DEC"/>
    <w:rsid w:val="00DB5919"/>
    <w:rsid w:val="00DB79B2"/>
    <w:rsid w:val="00E1055C"/>
    <w:rsid w:val="00E34099"/>
    <w:rsid w:val="00E715B9"/>
    <w:rsid w:val="00EC0F1B"/>
    <w:rsid w:val="00F0307D"/>
    <w:rsid w:val="00F40479"/>
    <w:rsid w:val="00F623E6"/>
    <w:rsid w:val="00F715D0"/>
    <w:rsid w:val="00FA0B47"/>
    <w:rsid w:val="00FA47E8"/>
    <w:rsid w:val="00FA52D2"/>
    <w:rsid w:val="00FC0CF1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07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7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07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1"/>
  </w:style>
  <w:style w:type="paragraph" w:styleId="Footer">
    <w:name w:val="footer"/>
    <w:basedOn w:val="Normal"/>
    <w:link w:val="FooterChar"/>
    <w:uiPriority w:val="99"/>
    <w:unhideWhenUsed/>
    <w:rsid w:val="0004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1"/>
  </w:style>
  <w:style w:type="paragraph" w:styleId="BalloonText">
    <w:name w:val="Balloon Text"/>
    <w:basedOn w:val="Normal"/>
    <w:link w:val="BalloonTextChar"/>
    <w:uiPriority w:val="99"/>
    <w:semiHidden/>
    <w:unhideWhenUsed/>
    <w:rsid w:val="0004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2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2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07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7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07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1"/>
  </w:style>
  <w:style w:type="paragraph" w:styleId="Footer">
    <w:name w:val="footer"/>
    <w:basedOn w:val="Normal"/>
    <w:link w:val="FooterChar"/>
    <w:uiPriority w:val="99"/>
    <w:unhideWhenUsed/>
    <w:rsid w:val="0004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1"/>
  </w:style>
  <w:style w:type="paragraph" w:styleId="BalloonText">
    <w:name w:val="Balloon Text"/>
    <w:basedOn w:val="Normal"/>
    <w:link w:val="BalloonTextChar"/>
    <w:uiPriority w:val="99"/>
    <w:semiHidden/>
    <w:unhideWhenUsed/>
    <w:rsid w:val="0004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2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iica.int/plataforma-del-grupo-tecnico-de-cambio-climatico-y-gestion-integral-del-riesgo-del-cac/home/grupo-tecnico/herramient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66D9-FAA1-48F3-88C7-36BADAB7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2598</Words>
  <Characters>14813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 y Oscar</dc:creator>
  <cp:lastModifiedBy>Osorio, Elizabeth (FAOSLM)</cp:lastModifiedBy>
  <cp:revision>10</cp:revision>
  <dcterms:created xsi:type="dcterms:W3CDTF">2016-01-19T16:48:00Z</dcterms:created>
  <dcterms:modified xsi:type="dcterms:W3CDTF">2016-01-19T16:56:00Z</dcterms:modified>
</cp:coreProperties>
</file>